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89B7" w14:textId="74AADD0E" w:rsidR="00FE1407" w:rsidRPr="00381828" w:rsidRDefault="00000000">
      <w:pPr>
        <w:jc w:val="center"/>
        <w:rPr>
          <w:b/>
          <w:bCs/>
          <w:sz w:val="28"/>
          <w:szCs w:val="28"/>
        </w:rPr>
      </w:pPr>
      <w:r w:rsidRPr="00381828">
        <w:rPr>
          <w:rFonts w:hint="eastAsia"/>
          <w:b/>
          <w:bCs/>
          <w:sz w:val="28"/>
          <w:szCs w:val="28"/>
        </w:rPr>
        <w:t>大铲湾</w:t>
      </w:r>
      <w:r w:rsidR="0007080C" w:rsidRPr="00381828">
        <w:rPr>
          <w:rFonts w:hint="eastAsia"/>
          <w:b/>
          <w:bCs/>
          <w:sz w:val="28"/>
          <w:szCs w:val="28"/>
        </w:rPr>
        <w:t>码头二期北侧</w:t>
      </w:r>
      <w:r w:rsidR="00D73C89" w:rsidRPr="00381828">
        <w:rPr>
          <w:rFonts w:hint="eastAsia"/>
          <w:b/>
          <w:bCs/>
          <w:sz w:val="28"/>
          <w:szCs w:val="28"/>
        </w:rPr>
        <w:t>相关</w:t>
      </w:r>
      <w:r w:rsidRPr="00381828">
        <w:rPr>
          <w:rFonts w:hint="eastAsia"/>
          <w:b/>
          <w:bCs/>
          <w:sz w:val="28"/>
          <w:szCs w:val="28"/>
        </w:rPr>
        <w:t>场地公开招租公告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56"/>
        <w:gridCol w:w="2683"/>
        <w:gridCol w:w="1699"/>
        <w:gridCol w:w="2384"/>
      </w:tblGrid>
      <w:tr w:rsidR="00B305CC" w14:paraId="36EC2043" w14:textId="77777777" w:rsidTr="001C50D7">
        <w:trPr>
          <w:trHeight w:val="492"/>
          <w:jc w:val="center"/>
        </w:trPr>
        <w:tc>
          <w:tcPr>
            <w:tcW w:w="1756" w:type="dxa"/>
            <w:vAlign w:val="center"/>
          </w:tcPr>
          <w:p w14:paraId="5691CB93"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标的名称</w:t>
            </w:r>
          </w:p>
        </w:tc>
        <w:tc>
          <w:tcPr>
            <w:tcW w:w="6766" w:type="dxa"/>
            <w:gridSpan w:val="3"/>
          </w:tcPr>
          <w:p w14:paraId="323BB06D"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大铲湾码头二期北侧思航堆场西南侧场地</w:t>
            </w:r>
          </w:p>
        </w:tc>
      </w:tr>
      <w:tr w:rsidR="00B305CC" w14:paraId="2EF0CB05" w14:textId="77777777" w:rsidTr="001C50D7">
        <w:trPr>
          <w:trHeight w:val="567"/>
          <w:jc w:val="center"/>
        </w:trPr>
        <w:tc>
          <w:tcPr>
            <w:tcW w:w="1756" w:type="dxa"/>
            <w:vAlign w:val="center"/>
          </w:tcPr>
          <w:p w14:paraId="1B9E7BF0"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资产地理位置</w:t>
            </w:r>
          </w:p>
        </w:tc>
        <w:tc>
          <w:tcPr>
            <w:tcW w:w="6766" w:type="dxa"/>
            <w:gridSpan w:val="3"/>
          </w:tcPr>
          <w:p w14:paraId="2A05789C" w14:textId="77777777" w:rsidR="00B305CC" w:rsidRPr="00B305CC" w:rsidRDefault="00B305CC" w:rsidP="001C50D7">
            <w:pPr>
              <w:spacing w:line="480" w:lineRule="auto"/>
              <w:jc w:val="center"/>
              <w:rPr>
                <w:rFonts w:ascii="仿宋_GB2312" w:eastAsia="仿宋_GB2312" w:hAnsi="仿宋_GB2312" w:cs="仿宋_GB2312"/>
                <w:bCs/>
                <w:szCs w:val="21"/>
              </w:rPr>
            </w:pPr>
            <w:r w:rsidRPr="00B305CC">
              <w:rPr>
                <w:rFonts w:ascii="仿宋_GB2312" w:eastAsia="仿宋_GB2312" w:hAnsi="仿宋_GB2312" w:cs="仿宋_GB2312" w:hint="eastAsia"/>
                <w:szCs w:val="21"/>
              </w:rPr>
              <w:t>深圳市宝安区西乡街道蚝业社区大铲湾码头二期北侧</w:t>
            </w:r>
          </w:p>
        </w:tc>
      </w:tr>
      <w:tr w:rsidR="00B305CC" w14:paraId="6F0852D7" w14:textId="77777777" w:rsidTr="001C50D7">
        <w:trPr>
          <w:trHeight w:val="567"/>
          <w:jc w:val="center"/>
        </w:trPr>
        <w:tc>
          <w:tcPr>
            <w:tcW w:w="1756" w:type="dxa"/>
            <w:vAlign w:val="center"/>
          </w:tcPr>
          <w:p w14:paraId="66A94A3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资产权属情况</w:t>
            </w:r>
          </w:p>
        </w:tc>
        <w:tc>
          <w:tcPr>
            <w:tcW w:w="2683" w:type="dxa"/>
          </w:tcPr>
          <w:p w14:paraId="07902FAB"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   有房地产证（土地使用权证）</w:t>
            </w:r>
          </w:p>
          <w:p w14:paraId="41815BE2"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   有权属说明</w:t>
            </w:r>
          </w:p>
        </w:tc>
        <w:tc>
          <w:tcPr>
            <w:tcW w:w="1699" w:type="dxa"/>
            <w:vAlign w:val="center"/>
          </w:tcPr>
          <w:p w14:paraId="1AAEBFC0"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公告期限</w:t>
            </w:r>
          </w:p>
        </w:tc>
        <w:tc>
          <w:tcPr>
            <w:tcW w:w="2384" w:type="dxa"/>
          </w:tcPr>
          <w:p w14:paraId="3CFEE9A3" w14:textId="77777777" w:rsidR="00B305CC" w:rsidRPr="00B305CC" w:rsidRDefault="00B305CC" w:rsidP="001C50D7">
            <w:pPr>
              <w:ind w:right="480"/>
              <w:rPr>
                <w:rFonts w:ascii="仿宋_GB2312" w:eastAsia="仿宋_GB2312" w:hAnsi="仿宋_GB2312" w:cs="仿宋_GB2312"/>
                <w:szCs w:val="21"/>
              </w:rPr>
            </w:pPr>
            <w:r w:rsidRPr="00B305CC">
              <w:rPr>
                <w:rFonts w:ascii="仿宋_GB2312" w:eastAsia="仿宋_GB2312" w:hAnsi="仿宋_GB2312" w:cs="仿宋_GB2312" w:hint="eastAsia"/>
                <w:szCs w:val="21"/>
                <w:u w:val="single"/>
              </w:rPr>
              <w:t xml:space="preserve"> 10 </w:t>
            </w:r>
            <w:proofErr w:type="gramStart"/>
            <w:r w:rsidRPr="00B305CC">
              <w:rPr>
                <w:rFonts w:ascii="仿宋_GB2312" w:eastAsia="仿宋_GB2312" w:hAnsi="仿宋_GB2312" w:cs="仿宋_GB2312" w:hint="eastAsia"/>
                <w:szCs w:val="21"/>
              </w:rPr>
              <w:t>个</w:t>
            </w:r>
            <w:proofErr w:type="gramEnd"/>
            <w:r w:rsidRPr="00B305CC">
              <w:rPr>
                <w:rFonts w:ascii="仿宋_GB2312" w:eastAsia="仿宋_GB2312" w:hAnsi="仿宋_GB2312" w:cs="仿宋_GB2312" w:hint="eastAsia"/>
                <w:szCs w:val="21"/>
              </w:rPr>
              <w:t>工日</w:t>
            </w:r>
          </w:p>
          <w:p w14:paraId="1A55F798"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szCs w:val="21"/>
              </w:rPr>
              <w:t>（不少于10个工作日）</w:t>
            </w:r>
          </w:p>
        </w:tc>
      </w:tr>
      <w:tr w:rsidR="00B305CC" w14:paraId="79E3BA14" w14:textId="77777777" w:rsidTr="001C50D7">
        <w:trPr>
          <w:trHeight w:val="454"/>
          <w:jc w:val="center"/>
        </w:trPr>
        <w:tc>
          <w:tcPr>
            <w:tcW w:w="1756" w:type="dxa"/>
            <w:vAlign w:val="center"/>
          </w:tcPr>
          <w:p w14:paraId="2D5EED08"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计算租金面积</w:t>
            </w:r>
          </w:p>
        </w:tc>
        <w:tc>
          <w:tcPr>
            <w:tcW w:w="2683" w:type="dxa"/>
          </w:tcPr>
          <w:p w14:paraId="2DB8072D"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15000㎡</w:t>
            </w:r>
          </w:p>
          <w:p w14:paraId="07F816D4"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（具体以实测为准）</w:t>
            </w:r>
          </w:p>
        </w:tc>
        <w:tc>
          <w:tcPr>
            <w:tcW w:w="1699" w:type="dxa"/>
            <w:vAlign w:val="center"/>
          </w:tcPr>
          <w:p w14:paraId="53906F72"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出租用途</w:t>
            </w:r>
          </w:p>
        </w:tc>
        <w:tc>
          <w:tcPr>
            <w:tcW w:w="2384" w:type="dxa"/>
            <w:vAlign w:val="center"/>
          </w:tcPr>
          <w:p w14:paraId="67105D9A"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停车及配套</w:t>
            </w:r>
          </w:p>
        </w:tc>
      </w:tr>
      <w:tr w:rsidR="00B305CC" w14:paraId="2D31E961" w14:textId="77777777" w:rsidTr="001C50D7">
        <w:trPr>
          <w:trHeight w:val="422"/>
          <w:jc w:val="center"/>
        </w:trPr>
        <w:tc>
          <w:tcPr>
            <w:tcW w:w="1756" w:type="dxa"/>
            <w:vAlign w:val="center"/>
          </w:tcPr>
          <w:p w14:paraId="3066890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租赁期限</w:t>
            </w:r>
          </w:p>
        </w:tc>
        <w:tc>
          <w:tcPr>
            <w:tcW w:w="2683" w:type="dxa"/>
          </w:tcPr>
          <w:p w14:paraId="68A2A907" w14:textId="77777777" w:rsidR="00B305CC" w:rsidRPr="00B305CC" w:rsidRDefault="00B305CC" w:rsidP="001C50D7">
            <w:pPr>
              <w:spacing w:line="480" w:lineRule="auto"/>
              <w:jc w:val="center"/>
              <w:rPr>
                <w:rFonts w:ascii="仿宋_GB2312" w:eastAsia="仿宋_GB2312" w:hAnsi="仿宋_GB2312" w:cs="仿宋_GB2312"/>
                <w:bCs/>
                <w:szCs w:val="21"/>
              </w:rPr>
            </w:pPr>
            <w:r w:rsidRPr="00B305CC">
              <w:rPr>
                <w:rFonts w:ascii="仿宋_GB2312" w:eastAsia="仿宋_GB2312" w:hAnsi="仿宋_GB2312" w:cs="仿宋_GB2312" w:hint="eastAsia"/>
                <w:szCs w:val="21"/>
              </w:rPr>
              <w:t>1年</w:t>
            </w:r>
          </w:p>
        </w:tc>
        <w:tc>
          <w:tcPr>
            <w:tcW w:w="1699" w:type="dxa"/>
            <w:vAlign w:val="center"/>
          </w:tcPr>
          <w:p w14:paraId="433B5E30"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免租期限</w:t>
            </w:r>
          </w:p>
        </w:tc>
        <w:tc>
          <w:tcPr>
            <w:tcW w:w="2384" w:type="dxa"/>
            <w:vAlign w:val="center"/>
          </w:tcPr>
          <w:p w14:paraId="57993FD0"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无</w:t>
            </w:r>
          </w:p>
        </w:tc>
      </w:tr>
      <w:tr w:rsidR="00B305CC" w14:paraId="01FBF9EE" w14:textId="77777777" w:rsidTr="001C50D7">
        <w:trPr>
          <w:trHeight w:val="452"/>
          <w:jc w:val="center"/>
        </w:trPr>
        <w:tc>
          <w:tcPr>
            <w:tcW w:w="1756" w:type="dxa"/>
            <w:vAlign w:val="center"/>
          </w:tcPr>
          <w:p w14:paraId="6ED2E768" w14:textId="77777777" w:rsidR="00B305CC" w:rsidRPr="00B305CC" w:rsidRDefault="00B305CC" w:rsidP="001C50D7">
            <w:pPr>
              <w:jc w:val="center"/>
              <w:rPr>
                <w:rFonts w:ascii="仿宋_GB2312" w:eastAsia="仿宋_GB2312" w:hAnsi="仿宋_GB2312" w:cs="仿宋_GB2312"/>
                <w:szCs w:val="21"/>
              </w:rPr>
            </w:pPr>
            <w:r w:rsidRPr="00B305CC">
              <w:rPr>
                <w:rFonts w:ascii="仿宋_GB2312" w:eastAsia="仿宋_GB2312" w:hAnsi="仿宋_GB2312" w:cs="仿宋_GB2312" w:hint="eastAsia"/>
                <w:szCs w:val="21"/>
              </w:rPr>
              <w:t>招租底价及递增</w:t>
            </w:r>
          </w:p>
        </w:tc>
        <w:tc>
          <w:tcPr>
            <w:tcW w:w="2683" w:type="dxa"/>
          </w:tcPr>
          <w:p w14:paraId="2C047153"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14.5元/㎡/月（含税）</w:t>
            </w:r>
          </w:p>
        </w:tc>
        <w:tc>
          <w:tcPr>
            <w:tcW w:w="1699" w:type="dxa"/>
            <w:vAlign w:val="center"/>
          </w:tcPr>
          <w:p w14:paraId="417C5066" w14:textId="77777777" w:rsidR="00B305CC" w:rsidRPr="00B305CC" w:rsidRDefault="00B305CC" w:rsidP="001C50D7">
            <w:pPr>
              <w:jc w:val="center"/>
              <w:rPr>
                <w:rFonts w:ascii="仿宋_GB2312" w:eastAsia="仿宋_GB2312" w:hAnsi="仿宋_GB2312" w:cs="仿宋_GB2312"/>
                <w:szCs w:val="21"/>
              </w:rPr>
            </w:pPr>
            <w:r w:rsidRPr="00B305CC">
              <w:rPr>
                <w:rFonts w:ascii="仿宋_GB2312" w:eastAsia="仿宋_GB2312" w:hAnsi="仿宋_GB2312" w:cs="仿宋_GB2312" w:hint="eastAsia"/>
                <w:szCs w:val="21"/>
              </w:rPr>
              <w:t>定价依据</w:t>
            </w:r>
          </w:p>
        </w:tc>
        <w:tc>
          <w:tcPr>
            <w:tcW w:w="2384" w:type="dxa"/>
            <w:vAlign w:val="center"/>
          </w:tcPr>
          <w:p w14:paraId="59252B53"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评估价</w:t>
            </w:r>
          </w:p>
        </w:tc>
      </w:tr>
      <w:tr w:rsidR="00B305CC" w14:paraId="36093D71" w14:textId="77777777" w:rsidTr="001C50D7">
        <w:trPr>
          <w:trHeight w:val="567"/>
          <w:jc w:val="center"/>
        </w:trPr>
        <w:tc>
          <w:tcPr>
            <w:tcW w:w="1756" w:type="dxa"/>
            <w:vAlign w:val="center"/>
          </w:tcPr>
          <w:p w14:paraId="3AAFCCB8"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szCs w:val="21"/>
              </w:rPr>
              <w:t>物业是否空置</w:t>
            </w:r>
          </w:p>
        </w:tc>
        <w:tc>
          <w:tcPr>
            <w:tcW w:w="2683" w:type="dxa"/>
            <w:vAlign w:val="center"/>
          </w:tcPr>
          <w:p w14:paraId="054D7D9A"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☑是    □否</w:t>
            </w:r>
          </w:p>
        </w:tc>
        <w:tc>
          <w:tcPr>
            <w:tcW w:w="1699" w:type="dxa"/>
            <w:vAlign w:val="center"/>
          </w:tcPr>
          <w:p w14:paraId="08D81D65"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原合同租赁期限到期日</w:t>
            </w:r>
          </w:p>
        </w:tc>
        <w:tc>
          <w:tcPr>
            <w:tcW w:w="2384" w:type="dxa"/>
            <w:vAlign w:val="center"/>
          </w:tcPr>
          <w:p w14:paraId="65EC51C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szCs w:val="21"/>
                <w:u w:val="single"/>
              </w:rPr>
              <w:t xml:space="preserve">     </w:t>
            </w:r>
            <w:r w:rsidRPr="00B305CC">
              <w:rPr>
                <w:rFonts w:ascii="仿宋_GB2312" w:eastAsia="仿宋_GB2312" w:hAnsi="仿宋_GB2312" w:cs="仿宋_GB2312" w:hint="eastAsia"/>
                <w:szCs w:val="21"/>
              </w:rPr>
              <w:t>年</w:t>
            </w:r>
            <w:r w:rsidRPr="00B305CC">
              <w:rPr>
                <w:rFonts w:ascii="仿宋_GB2312" w:eastAsia="仿宋_GB2312" w:hAnsi="仿宋_GB2312" w:cs="仿宋_GB2312" w:hint="eastAsia"/>
                <w:szCs w:val="21"/>
                <w:u w:val="single"/>
              </w:rPr>
              <w:t xml:space="preserve">   </w:t>
            </w:r>
            <w:r w:rsidRPr="00B305CC">
              <w:rPr>
                <w:rFonts w:ascii="仿宋_GB2312" w:eastAsia="仿宋_GB2312" w:hAnsi="仿宋_GB2312" w:cs="仿宋_GB2312" w:hint="eastAsia"/>
                <w:szCs w:val="21"/>
              </w:rPr>
              <w:t>月</w:t>
            </w:r>
            <w:r w:rsidRPr="00B305CC">
              <w:rPr>
                <w:rFonts w:ascii="仿宋_GB2312" w:eastAsia="仿宋_GB2312" w:hAnsi="仿宋_GB2312" w:cs="仿宋_GB2312" w:hint="eastAsia"/>
                <w:szCs w:val="21"/>
                <w:u w:val="single"/>
              </w:rPr>
              <w:t xml:space="preserve">   </w:t>
            </w:r>
            <w:r w:rsidRPr="00B305CC">
              <w:rPr>
                <w:rFonts w:ascii="仿宋_GB2312" w:eastAsia="仿宋_GB2312" w:hAnsi="仿宋_GB2312" w:cs="仿宋_GB2312" w:hint="eastAsia"/>
                <w:szCs w:val="21"/>
              </w:rPr>
              <w:t>日</w:t>
            </w:r>
          </w:p>
        </w:tc>
      </w:tr>
      <w:tr w:rsidR="00B305CC" w14:paraId="243C57B3" w14:textId="77777777" w:rsidTr="001C50D7">
        <w:trPr>
          <w:trHeight w:val="567"/>
          <w:jc w:val="center"/>
        </w:trPr>
        <w:tc>
          <w:tcPr>
            <w:tcW w:w="1756" w:type="dxa"/>
            <w:vAlign w:val="center"/>
          </w:tcPr>
          <w:p w14:paraId="1B86FA36"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是否刊登报刊</w:t>
            </w:r>
          </w:p>
        </w:tc>
        <w:tc>
          <w:tcPr>
            <w:tcW w:w="2683" w:type="dxa"/>
            <w:vAlign w:val="center"/>
          </w:tcPr>
          <w:p w14:paraId="24399B26" w14:textId="77777777" w:rsidR="00B305CC" w:rsidRPr="00B305CC" w:rsidRDefault="00B305CC" w:rsidP="001C50D7">
            <w:pPr>
              <w:rPr>
                <w:rFonts w:ascii="仿宋_GB2312" w:eastAsia="仿宋_GB2312" w:hAnsi="仿宋_GB2312" w:cs="仿宋_GB2312"/>
                <w:bCs/>
                <w:szCs w:val="21"/>
                <w:u w:val="single"/>
              </w:rPr>
            </w:pPr>
            <w:r w:rsidRPr="00B305CC">
              <w:rPr>
                <w:rFonts w:ascii="仿宋_GB2312" w:eastAsia="仿宋_GB2312" w:hAnsi="仿宋_GB2312" w:cs="仿宋_GB2312" w:hint="eastAsia"/>
                <w:bCs/>
                <w:szCs w:val="21"/>
              </w:rPr>
              <w:t>□是</w:t>
            </w:r>
            <w:r w:rsidRPr="00B305CC">
              <w:rPr>
                <w:rFonts w:ascii="仿宋_GB2312" w:eastAsia="仿宋_GB2312" w:hAnsi="仿宋_GB2312" w:cs="仿宋_GB2312" w:hint="eastAsia"/>
                <w:bCs/>
                <w:szCs w:val="21"/>
                <w:u w:val="single"/>
              </w:rPr>
              <w:t xml:space="preserve">             </w:t>
            </w:r>
          </w:p>
          <w:p w14:paraId="5101B6C1"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☑否</w:t>
            </w:r>
          </w:p>
        </w:tc>
        <w:tc>
          <w:tcPr>
            <w:tcW w:w="1699" w:type="dxa"/>
            <w:vAlign w:val="center"/>
          </w:tcPr>
          <w:p w14:paraId="49CCDB8F"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是否允许联合承租</w:t>
            </w:r>
          </w:p>
        </w:tc>
        <w:tc>
          <w:tcPr>
            <w:tcW w:w="2384" w:type="dxa"/>
            <w:vAlign w:val="center"/>
          </w:tcPr>
          <w:p w14:paraId="530FE7CC" w14:textId="77777777" w:rsidR="00B305CC" w:rsidRPr="00B305CC" w:rsidRDefault="00B305CC" w:rsidP="001C50D7">
            <w:pPr>
              <w:jc w:val="center"/>
              <w:rPr>
                <w:rFonts w:ascii="仿宋_GB2312" w:eastAsia="仿宋_GB2312" w:hAnsi="仿宋_GB2312" w:cs="仿宋_GB2312"/>
                <w:bCs/>
                <w:szCs w:val="21"/>
                <w:highlight w:val="yellow"/>
              </w:rPr>
            </w:pPr>
            <w:r w:rsidRPr="00B305CC">
              <w:rPr>
                <w:rFonts w:ascii="仿宋_GB2312" w:eastAsia="仿宋_GB2312" w:hAnsi="仿宋_GB2312" w:cs="仿宋_GB2312" w:hint="eastAsia"/>
                <w:bCs/>
                <w:szCs w:val="21"/>
              </w:rPr>
              <w:t>□是    ☑否</w:t>
            </w:r>
          </w:p>
        </w:tc>
      </w:tr>
      <w:tr w:rsidR="00B305CC" w14:paraId="5B6B7785" w14:textId="77777777" w:rsidTr="001C50D7">
        <w:trPr>
          <w:trHeight w:val="567"/>
          <w:jc w:val="center"/>
        </w:trPr>
        <w:tc>
          <w:tcPr>
            <w:tcW w:w="1756" w:type="dxa"/>
            <w:vAlign w:val="center"/>
          </w:tcPr>
          <w:p w14:paraId="39FD38A8"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是否有原租户</w:t>
            </w:r>
          </w:p>
        </w:tc>
        <w:tc>
          <w:tcPr>
            <w:tcW w:w="2683" w:type="dxa"/>
            <w:vAlign w:val="center"/>
          </w:tcPr>
          <w:p w14:paraId="42735B93" w14:textId="77777777" w:rsidR="00B305CC" w:rsidRPr="00B305CC" w:rsidRDefault="00B305CC" w:rsidP="001C50D7">
            <w:pPr>
              <w:rPr>
                <w:rFonts w:ascii="仿宋_GB2312" w:eastAsia="仿宋_GB2312" w:hAnsi="仿宋_GB2312" w:cs="仿宋_GB2312"/>
                <w:bCs/>
                <w:szCs w:val="21"/>
                <w:u w:val="single"/>
              </w:rPr>
            </w:pPr>
            <w:r w:rsidRPr="00B305CC">
              <w:rPr>
                <w:rFonts w:ascii="仿宋_GB2312" w:eastAsia="仿宋_GB2312" w:hAnsi="仿宋_GB2312" w:cs="仿宋_GB2312" w:hint="eastAsia"/>
                <w:bCs/>
                <w:szCs w:val="21"/>
              </w:rPr>
              <w:t>□是</w:t>
            </w:r>
            <w:r w:rsidRPr="00B305CC">
              <w:rPr>
                <w:rFonts w:ascii="仿宋_GB2312" w:eastAsia="仿宋_GB2312" w:hAnsi="仿宋_GB2312" w:cs="仿宋_GB2312" w:hint="eastAsia"/>
                <w:bCs/>
                <w:szCs w:val="21"/>
                <w:u w:val="single"/>
              </w:rPr>
              <w:t xml:space="preserve">             </w:t>
            </w:r>
          </w:p>
          <w:p w14:paraId="5E8CE85F"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☑否</w:t>
            </w:r>
          </w:p>
        </w:tc>
        <w:tc>
          <w:tcPr>
            <w:tcW w:w="1699" w:type="dxa"/>
            <w:vAlign w:val="center"/>
          </w:tcPr>
          <w:p w14:paraId="5EBB79C6"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是否涉及优先承租权</w:t>
            </w:r>
          </w:p>
        </w:tc>
        <w:tc>
          <w:tcPr>
            <w:tcW w:w="2384" w:type="dxa"/>
            <w:vAlign w:val="center"/>
          </w:tcPr>
          <w:p w14:paraId="593B8508" w14:textId="77777777" w:rsidR="00B305CC" w:rsidRPr="00B305CC" w:rsidRDefault="00B305CC" w:rsidP="001C50D7">
            <w:pPr>
              <w:ind w:firstLineChars="100" w:firstLine="210"/>
              <w:rPr>
                <w:rFonts w:ascii="仿宋_GB2312" w:eastAsia="仿宋_GB2312" w:hAnsi="仿宋_GB2312" w:cs="仿宋_GB2312"/>
                <w:bCs/>
                <w:szCs w:val="21"/>
              </w:rPr>
            </w:pPr>
            <w:r w:rsidRPr="00B305CC">
              <w:rPr>
                <w:rFonts w:ascii="仿宋_GB2312" w:eastAsia="仿宋_GB2312" w:hAnsi="仿宋_GB2312" w:cs="仿宋_GB2312" w:hint="eastAsia"/>
                <w:bCs/>
                <w:szCs w:val="21"/>
              </w:rPr>
              <w:t>□是____☑否</w:t>
            </w:r>
          </w:p>
        </w:tc>
      </w:tr>
      <w:tr w:rsidR="00B305CC" w14:paraId="21979509" w14:textId="77777777" w:rsidTr="001C50D7">
        <w:trPr>
          <w:trHeight w:val="567"/>
          <w:jc w:val="center"/>
        </w:trPr>
        <w:tc>
          <w:tcPr>
            <w:tcW w:w="1756" w:type="dxa"/>
            <w:vAlign w:val="center"/>
          </w:tcPr>
          <w:p w14:paraId="44D50D92" w14:textId="77777777" w:rsidR="00B305CC" w:rsidRPr="00B305CC" w:rsidRDefault="00B305CC" w:rsidP="001C50D7">
            <w:pPr>
              <w:spacing w:line="400" w:lineRule="exact"/>
              <w:jc w:val="center"/>
              <w:rPr>
                <w:rFonts w:ascii="仿宋_GB2312" w:eastAsia="仿宋_GB2312" w:hAnsi="仿宋_GB2312" w:cs="仿宋_GB2312"/>
                <w:szCs w:val="21"/>
              </w:rPr>
            </w:pPr>
            <w:r w:rsidRPr="00B305CC">
              <w:rPr>
                <w:rFonts w:ascii="仿宋_GB2312" w:eastAsia="仿宋_GB2312" w:hAnsi="仿宋_GB2312" w:cs="仿宋_GB2312" w:hint="eastAsia"/>
                <w:szCs w:val="21"/>
              </w:rPr>
              <w:t>确定承租方后</w:t>
            </w:r>
          </w:p>
          <w:p w14:paraId="3C76753A" w14:textId="77777777" w:rsidR="00B305CC" w:rsidRPr="00B305CC" w:rsidRDefault="00B305CC" w:rsidP="001C50D7">
            <w:pPr>
              <w:spacing w:line="400" w:lineRule="exact"/>
              <w:jc w:val="center"/>
              <w:rPr>
                <w:rFonts w:ascii="仿宋_GB2312" w:eastAsia="仿宋_GB2312" w:hAnsi="仿宋_GB2312" w:cs="仿宋_GB2312"/>
                <w:szCs w:val="21"/>
              </w:rPr>
            </w:pPr>
            <w:r w:rsidRPr="00B305CC">
              <w:rPr>
                <w:rFonts w:ascii="仿宋_GB2312" w:eastAsia="仿宋_GB2312" w:hAnsi="仿宋_GB2312" w:cs="仿宋_GB2312" w:hint="eastAsia"/>
                <w:szCs w:val="21"/>
              </w:rPr>
              <w:t>签订合同时间</w:t>
            </w:r>
          </w:p>
        </w:tc>
        <w:tc>
          <w:tcPr>
            <w:tcW w:w="2683" w:type="dxa"/>
            <w:vAlign w:val="center"/>
          </w:tcPr>
          <w:p w14:paraId="277C0E16"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u w:val="single"/>
              </w:rPr>
              <w:t>30</w:t>
            </w:r>
            <w:r w:rsidRPr="00B305CC">
              <w:rPr>
                <w:rFonts w:ascii="仿宋_GB2312" w:eastAsia="仿宋_GB2312" w:hAnsi="仿宋_GB2312" w:cs="仿宋_GB2312" w:hint="eastAsia"/>
                <w:bCs/>
                <w:szCs w:val="21"/>
              </w:rPr>
              <w:t>自然日内</w:t>
            </w:r>
          </w:p>
        </w:tc>
        <w:tc>
          <w:tcPr>
            <w:tcW w:w="1699" w:type="dxa"/>
            <w:vAlign w:val="center"/>
          </w:tcPr>
          <w:p w14:paraId="5D35179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szCs w:val="21"/>
              </w:rPr>
              <w:t>租金支付方式</w:t>
            </w:r>
          </w:p>
        </w:tc>
        <w:tc>
          <w:tcPr>
            <w:tcW w:w="2384" w:type="dxa"/>
            <w:vAlign w:val="center"/>
          </w:tcPr>
          <w:p w14:paraId="58D5EAA5"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月付</w:t>
            </w:r>
          </w:p>
        </w:tc>
      </w:tr>
      <w:tr w:rsidR="00B305CC" w14:paraId="1E04467B" w14:textId="77777777" w:rsidTr="001C50D7">
        <w:trPr>
          <w:trHeight w:val="567"/>
          <w:jc w:val="center"/>
        </w:trPr>
        <w:tc>
          <w:tcPr>
            <w:tcW w:w="1756" w:type="dxa"/>
            <w:vAlign w:val="center"/>
          </w:tcPr>
          <w:p w14:paraId="4F3D2C9F"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招租保证金</w:t>
            </w:r>
          </w:p>
        </w:tc>
        <w:tc>
          <w:tcPr>
            <w:tcW w:w="6766" w:type="dxa"/>
            <w:gridSpan w:val="3"/>
            <w:vAlign w:val="center"/>
          </w:tcPr>
          <w:p w14:paraId="78E5ABFF"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挂牌期满前向联交所缴纳</w:t>
            </w:r>
            <w:r w:rsidRPr="00B305CC">
              <w:rPr>
                <w:rFonts w:ascii="仿宋_GB2312" w:eastAsia="仿宋_GB2312" w:hAnsi="仿宋_GB2312" w:cs="仿宋_GB2312" w:hint="eastAsia"/>
                <w:bCs/>
                <w:szCs w:val="21"/>
                <w:u w:val="single"/>
              </w:rPr>
              <w:t xml:space="preserve"> 435000 </w:t>
            </w:r>
            <w:r w:rsidRPr="00B305CC">
              <w:rPr>
                <w:rFonts w:ascii="仿宋_GB2312" w:eastAsia="仿宋_GB2312" w:hAnsi="仿宋_GB2312" w:cs="仿宋_GB2312" w:hint="eastAsia"/>
                <w:bCs/>
                <w:szCs w:val="21"/>
              </w:rPr>
              <w:t>元保证金</w:t>
            </w:r>
          </w:p>
        </w:tc>
      </w:tr>
      <w:tr w:rsidR="00B305CC" w14:paraId="0DDFC065" w14:textId="77777777" w:rsidTr="001C50D7">
        <w:trPr>
          <w:trHeight w:val="567"/>
          <w:jc w:val="center"/>
        </w:trPr>
        <w:tc>
          <w:tcPr>
            <w:tcW w:w="1756" w:type="dxa"/>
            <w:vAlign w:val="center"/>
          </w:tcPr>
          <w:p w14:paraId="2510A57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承租方应具</w:t>
            </w:r>
          </w:p>
          <w:p w14:paraId="0AA7A1D7"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备的资格条件</w:t>
            </w:r>
          </w:p>
        </w:tc>
        <w:tc>
          <w:tcPr>
            <w:tcW w:w="6766" w:type="dxa"/>
            <w:gridSpan w:val="3"/>
          </w:tcPr>
          <w:p w14:paraId="5BF87B03"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1.意向承租方须为中国人民共和国境内（港、澳、台地区除外）依法注册的独立法人企业，注册资本不少于人民币500万元。（提供营业执照复印件以及国家企业信用信息查询单：http://www.gsxt.gov.cn/index.html，本项目招租公告发布之日后增加注册资本达到本数的无效）。</w:t>
            </w:r>
          </w:p>
          <w:p w14:paraId="66940DFC"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kern w:val="0"/>
                <w:szCs w:val="21"/>
              </w:rPr>
              <w:t>2</w:t>
            </w:r>
            <w:r w:rsidRPr="00B305CC">
              <w:rPr>
                <w:rFonts w:ascii="仿宋_GB2312" w:eastAsia="仿宋_GB2312" w:hAnsi="仿宋_GB2312" w:cs="仿宋_GB2312" w:hint="eastAsia"/>
                <w:kern w:val="0"/>
                <w:szCs w:val="21"/>
              </w:rPr>
              <w:t>.意向承租方遵守国家法律、法规，近三年内没有违法经营记录、无较大安全责任事故，未被纳入失信被执行人名单。（以信用中国网站及中国执行信息公开网查询为准，信用中国查询网址：https://www.creditchina.gov.cn/，中国执行信息公开网查询网址：http://zxgk.court.gov.cn/shixin/）。</w:t>
            </w:r>
          </w:p>
          <w:p w14:paraId="58E96BF7" w14:textId="77777777" w:rsidR="00B305CC" w:rsidRPr="00B305CC" w:rsidRDefault="00B305CC" w:rsidP="001C50D7">
            <w:pPr>
              <w:rPr>
                <w:rFonts w:ascii="仿宋_GB2312" w:eastAsia="仿宋_GB2312" w:hAnsi="仿宋_GB2312" w:cs="仿宋_GB2312"/>
                <w:color w:val="FF0000"/>
                <w:kern w:val="0"/>
                <w:szCs w:val="21"/>
              </w:rPr>
            </w:pPr>
            <w:r w:rsidRPr="00B305CC">
              <w:rPr>
                <w:rFonts w:ascii="仿宋_GB2312" w:eastAsia="仿宋_GB2312" w:hAnsi="仿宋_GB2312" w:cs="仿宋_GB2312" w:hint="eastAsia"/>
                <w:kern w:val="0"/>
                <w:szCs w:val="21"/>
              </w:rPr>
              <w:t>3、意向承租方须提供承租物业用途说明，并承诺中选后不在租赁场地</w:t>
            </w:r>
            <w:r w:rsidRPr="00B305CC">
              <w:rPr>
                <w:rFonts w:ascii="仿宋_GB2312" w:eastAsia="仿宋_GB2312" w:hAnsi="仿宋_GB2312" w:cs="仿宋_GB2312" w:hint="eastAsia"/>
                <w:kern w:val="0"/>
                <w:szCs w:val="21"/>
              </w:rPr>
              <w:lastRenderedPageBreak/>
              <w:t>内从事易燃易爆等危险品业务。</w:t>
            </w:r>
          </w:p>
        </w:tc>
      </w:tr>
      <w:tr w:rsidR="00B305CC" w14:paraId="60922336" w14:textId="77777777" w:rsidTr="001C50D7">
        <w:trPr>
          <w:trHeight w:val="567"/>
          <w:jc w:val="center"/>
        </w:trPr>
        <w:tc>
          <w:tcPr>
            <w:tcW w:w="1756" w:type="dxa"/>
            <w:vAlign w:val="center"/>
          </w:tcPr>
          <w:p w14:paraId="5BE4981D"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lastRenderedPageBreak/>
              <w:t>履约条件</w:t>
            </w:r>
          </w:p>
        </w:tc>
        <w:tc>
          <w:tcPr>
            <w:tcW w:w="6766" w:type="dxa"/>
            <w:gridSpan w:val="3"/>
          </w:tcPr>
          <w:p w14:paraId="6BAC7DEE"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1.严格履行场地租赁合同规定内容的义务和责任。</w:t>
            </w:r>
          </w:p>
          <w:p w14:paraId="5367F4CB"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2.每月及时、足额支付各项租金及管理费。</w:t>
            </w:r>
          </w:p>
          <w:p w14:paraId="5626E7C9"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3.承租方须完善与业务相关的任何手续，应自行依据相关法律、法规向政府相关部门提出申报，出租方不承担任何责任和义务。</w:t>
            </w:r>
          </w:p>
          <w:p w14:paraId="2D96F445"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4.场地的水、电、排污等由承租方自行解决。</w:t>
            </w:r>
          </w:p>
          <w:p w14:paraId="1325C446"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5.承租方自行负责建设所租赁场地内的“三通一平”工程（包括但不限于水、电接驳设施、场地内道路及排水、排污等），且不得在租赁场地内建设任何形式的临时建筑。</w:t>
            </w:r>
          </w:p>
          <w:p w14:paraId="2AE776AA"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6.因政府政策、港区规划、港区建设和出租方建设等原因，经出租方提前书面通知承租方后，出租方有权提前解除合同，收回全部或部分租赁场地，且不承担因提前解除合同而产生任何形式的赔偿及补偿责任。</w:t>
            </w:r>
          </w:p>
          <w:p w14:paraId="0CC02B4E"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7.承租方必须与出租方签订《安全生产协议》并严格落实各项安全生产的责任和义务。</w:t>
            </w:r>
          </w:p>
          <w:p w14:paraId="434A171E"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8.承租方不得在租赁场地内开展新能源汽车充电桩业务。</w:t>
            </w:r>
          </w:p>
          <w:p w14:paraId="0C65B431"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9.承租方不得转租，即不得将承租场地部分或全部再出租给第三方。</w:t>
            </w:r>
          </w:p>
          <w:p w14:paraId="34BE6A8F"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10.承租方应在收到《公开招租结果通知书》之日起的30个自然日内签订租赁合同，如因承租方原因未按期签约或未签约则视为承租方违约，招租保证金不予退还，出租方有权重新出租物业，且无需对承租方承担任何赔偿责任。</w:t>
            </w:r>
          </w:p>
          <w:p w14:paraId="080AB09E"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11.履约保证金：3个月租金（以最终成交价计算），签署《租赁合同》5个自然日内支付。</w:t>
            </w:r>
          </w:p>
          <w:p w14:paraId="1D264783" w14:textId="77777777" w:rsidR="00B305CC" w:rsidRPr="00B305CC" w:rsidRDefault="00B305CC" w:rsidP="001C50D7">
            <w:pPr>
              <w:rPr>
                <w:rFonts w:ascii="仿宋_GB2312" w:eastAsia="仿宋_GB2312" w:hAnsi="仿宋_GB2312" w:cs="仿宋_GB2312"/>
                <w:kern w:val="0"/>
                <w:szCs w:val="21"/>
              </w:rPr>
            </w:pPr>
            <w:r w:rsidRPr="00B305CC">
              <w:rPr>
                <w:rFonts w:ascii="仿宋_GB2312" w:eastAsia="仿宋_GB2312" w:hAnsi="仿宋_GB2312" w:cs="仿宋_GB2312" w:hint="eastAsia"/>
                <w:kern w:val="0"/>
                <w:szCs w:val="21"/>
              </w:rPr>
              <w:t>12.租金支付方式：一月一付，签署《租赁合同》5个自然日内支付首月租金。后续每月租金在当月10日前支付。</w:t>
            </w:r>
          </w:p>
        </w:tc>
      </w:tr>
      <w:tr w:rsidR="00B305CC" w14:paraId="6A77BED8" w14:textId="77777777" w:rsidTr="001C50D7">
        <w:trPr>
          <w:trHeight w:val="524"/>
          <w:jc w:val="center"/>
        </w:trPr>
        <w:tc>
          <w:tcPr>
            <w:tcW w:w="1756" w:type="dxa"/>
            <w:vAlign w:val="center"/>
          </w:tcPr>
          <w:p w14:paraId="615DB86A"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特别事项</w:t>
            </w:r>
          </w:p>
          <w:p w14:paraId="6378A6A1" w14:textId="77777777" w:rsidR="00B305CC" w:rsidRPr="00B305CC" w:rsidRDefault="00B305CC" w:rsidP="001C50D7">
            <w:pPr>
              <w:jc w:val="center"/>
              <w:rPr>
                <w:rFonts w:ascii="仿宋_GB2312" w:eastAsia="仿宋_GB2312" w:hAnsi="仿宋_GB2312" w:cs="仿宋_GB2312"/>
                <w:bCs/>
                <w:szCs w:val="21"/>
              </w:rPr>
            </w:pPr>
            <w:r w:rsidRPr="00B305CC">
              <w:rPr>
                <w:rFonts w:ascii="仿宋_GB2312" w:eastAsia="仿宋_GB2312" w:hAnsi="仿宋_GB2312" w:cs="仿宋_GB2312" w:hint="eastAsia"/>
                <w:bCs/>
                <w:szCs w:val="21"/>
              </w:rPr>
              <w:t>说明及风险提示</w:t>
            </w:r>
          </w:p>
        </w:tc>
        <w:tc>
          <w:tcPr>
            <w:tcW w:w="6766" w:type="dxa"/>
            <w:gridSpan w:val="3"/>
          </w:tcPr>
          <w:p w14:paraId="269D4C73"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1.意向承租方如有下列情形之一的，取消承租资格并没收招租保证金：</w:t>
            </w:r>
          </w:p>
          <w:p w14:paraId="7B8AA912"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（1）意向承租方在被确认为最终承租方后不按约定时间内签订租赁合同的；</w:t>
            </w:r>
          </w:p>
          <w:p w14:paraId="11851AD1"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（2）与其他意向承租方进行串通报价或联合统一报价影响公平公正的；</w:t>
            </w:r>
          </w:p>
          <w:p w14:paraId="3A628065"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（3）提供虚假主体材料和证明文件等材料的；</w:t>
            </w:r>
          </w:p>
          <w:p w14:paraId="6FE46C91"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lastRenderedPageBreak/>
              <w:t>（4）存在其他违约情况的。</w:t>
            </w:r>
          </w:p>
          <w:p w14:paraId="2925FAA0"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2.招租物业位于大铲湾码头二期北侧，有土地使用权证，土地用途为港口用地，属于临时用地出租，无水电接驳，承租方需自行负责供水供电设施投资建设。意向承租方报名前应充分了解物业本身及周边的相关情况，并认真</w:t>
            </w:r>
            <w:proofErr w:type="gramStart"/>
            <w:r w:rsidRPr="00B305CC">
              <w:rPr>
                <w:rFonts w:ascii="仿宋_GB2312" w:eastAsia="仿宋_GB2312" w:hAnsi="仿宋_GB2312" w:cs="仿宋_GB2312" w:hint="eastAsia"/>
                <w:bCs/>
                <w:szCs w:val="21"/>
              </w:rPr>
              <w:t>研</w:t>
            </w:r>
            <w:proofErr w:type="gramEnd"/>
            <w:r w:rsidRPr="00B305CC">
              <w:rPr>
                <w:rFonts w:ascii="仿宋_GB2312" w:eastAsia="仿宋_GB2312" w:hAnsi="仿宋_GB2312" w:cs="仿宋_GB2312" w:hint="eastAsia"/>
                <w:bCs/>
                <w:szCs w:val="21"/>
              </w:rPr>
              <w:t>阅招租信息的全部内容以及当地的政策，意向承租方自愿报名参加物业承租的，视为已对物业查验、知悉并且了解物业瑕疵，并同意承担该瑕疵带来的全部风险。</w:t>
            </w:r>
          </w:p>
          <w:p w14:paraId="310CA105"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3.在租赁期限内，如大铲湾码头二期启动建设，出租方有权提前解除合同并收回场地，且不承担因提前解除合同而产生的任何形式的赔偿及补偿责任，承租方须无条件配合。</w:t>
            </w:r>
          </w:p>
          <w:p w14:paraId="4C8A0EF0"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4.其他条款见留存在联交所的租赁合同版本，出租方有权在签订租赁合同之前对不影响租赁合同实质性条款作适当的调整。</w:t>
            </w:r>
          </w:p>
          <w:p w14:paraId="676BEA06"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5.场地管理费：按0.5元/㎡/月收取，由承租方与深圳市大铲湾智城物业服务有限公司签订合同。</w:t>
            </w:r>
          </w:p>
          <w:p w14:paraId="31FDC40B"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6.若承租方放弃承租资格、因不可抗力不能履行合同、不按照招租公告要求提交履约保证金、或者被查实存在影响成交结果的违法行为等情形，出租方可取消承租方承租资格，招租保证金不予退还，出租方有权重新出租物业，且无需对承租方承担任何赔偿责任。</w:t>
            </w:r>
          </w:p>
          <w:p w14:paraId="6F56A7FE"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bCs/>
                <w:szCs w:val="21"/>
              </w:rPr>
              <w:t>7.我司已知悉贵所招租保证金缴纳限额及风险，由此产生的风险以后果由我司自行承担。</w:t>
            </w:r>
          </w:p>
        </w:tc>
      </w:tr>
      <w:tr w:rsidR="00B305CC" w14:paraId="7F084EFA" w14:textId="77777777" w:rsidTr="001C50D7">
        <w:trPr>
          <w:jc w:val="center"/>
        </w:trPr>
        <w:tc>
          <w:tcPr>
            <w:tcW w:w="8522" w:type="dxa"/>
            <w:gridSpan w:val="4"/>
          </w:tcPr>
          <w:p w14:paraId="0EE1632D" w14:textId="77777777" w:rsidR="00B305CC" w:rsidRPr="00B305CC" w:rsidRDefault="00B305CC" w:rsidP="001C50D7">
            <w:pPr>
              <w:rPr>
                <w:rFonts w:ascii="仿宋_GB2312" w:eastAsia="仿宋_GB2312" w:hAnsi="仿宋_GB2312" w:cs="仿宋_GB2312"/>
                <w:szCs w:val="21"/>
              </w:rPr>
            </w:pPr>
            <w:r w:rsidRPr="00B305CC">
              <w:rPr>
                <w:rFonts w:ascii="仿宋_GB2312" w:eastAsia="仿宋_GB2312" w:hAnsi="仿宋_GB2312" w:cs="仿宋_GB2312" w:hint="eastAsia"/>
                <w:szCs w:val="21"/>
              </w:rPr>
              <w:lastRenderedPageBreak/>
              <w:t>信息公告期限内未征集到符合条件的意向承租方时的处置方式</w:t>
            </w:r>
          </w:p>
          <w:p w14:paraId="77A66EBD" w14:textId="77777777" w:rsidR="00B305CC" w:rsidRPr="00B305CC" w:rsidRDefault="00B305CC" w:rsidP="001C50D7">
            <w:pPr>
              <w:rPr>
                <w:rFonts w:ascii="仿宋_GB2312" w:eastAsia="仿宋_GB2312" w:hAnsi="仿宋_GB2312" w:cs="仿宋_GB2312"/>
                <w:szCs w:val="21"/>
              </w:rPr>
            </w:pPr>
            <w:r w:rsidRPr="00B305CC">
              <w:rPr>
                <w:rFonts w:ascii="仿宋_GB2312" w:eastAsia="仿宋_GB2312" w:hAnsi="仿宋_GB2312" w:cs="仿宋_GB2312" w:hint="eastAsia"/>
                <w:szCs w:val="21"/>
              </w:rPr>
              <w:t>□不变更招租条件，每次延长信息公告期限</w:t>
            </w:r>
            <w:r w:rsidRPr="00B305CC">
              <w:rPr>
                <w:rFonts w:ascii="仿宋_GB2312" w:eastAsia="仿宋_GB2312" w:hAnsi="仿宋_GB2312" w:cs="仿宋_GB2312" w:hint="eastAsia"/>
                <w:szCs w:val="21"/>
                <w:u w:val="single"/>
              </w:rPr>
              <w:t xml:space="preserve">      </w:t>
            </w:r>
            <w:proofErr w:type="gramStart"/>
            <w:r w:rsidRPr="00B305CC">
              <w:rPr>
                <w:rFonts w:ascii="仿宋_GB2312" w:eastAsia="仿宋_GB2312" w:hAnsi="仿宋_GB2312" w:cs="仿宋_GB2312" w:hint="eastAsia"/>
                <w:szCs w:val="21"/>
              </w:rPr>
              <w:t>个</w:t>
            </w:r>
            <w:proofErr w:type="gramEnd"/>
            <w:r w:rsidRPr="00B305CC">
              <w:rPr>
                <w:rFonts w:ascii="仿宋_GB2312" w:eastAsia="仿宋_GB2312" w:hAnsi="仿宋_GB2312" w:cs="仿宋_GB2312" w:hint="eastAsia"/>
                <w:szCs w:val="21"/>
              </w:rPr>
              <w:t>工作日（应当不少于5个工作日），最多不超过</w:t>
            </w:r>
            <w:r w:rsidRPr="00B305CC">
              <w:rPr>
                <w:rFonts w:ascii="仿宋_GB2312" w:eastAsia="仿宋_GB2312" w:hAnsi="仿宋_GB2312" w:cs="仿宋_GB2312" w:hint="eastAsia"/>
                <w:szCs w:val="21"/>
                <w:u w:val="single"/>
              </w:rPr>
              <w:t xml:space="preserve">      </w:t>
            </w:r>
            <w:r w:rsidRPr="00B305CC">
              <w:rPr>
                <w:rFonts w:ascii="仿宋_GB2312" w:eastAsia="仿宋_GB2312" w:hAnsi="仿宋_GB2312" w:cs="仿宋_GB2312" w:hint="eastAsia"/>
                <w:szCs w:val="21"/>
              </w:rPr>
              <w:t>周期。</w:t>
            </w:r>
          </w:p>
          <w:p w14:paraId="46F34E1B"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szCs w:val="21"/>
              </w:rPr>
              <w:t>☑不延长公告期限，信息公告到期自行终结。</w:t>
            </w:r>
          </w:p>
        </w:tc>
      </w:tr>
      <w:tr w:rsidR="00B305CC" w14:paraId="0925A801" w14:textId="77777777" w:rsidTr="001C50D7">
        <w:trPr>
          <w:jc w:val="center"/>
        </w:trPr>
        <w:tc>
          <w:tcPr>
            <w:tcW w:w="8522" w:type="dxa"/>
            <w:gridSpan w:val="4"/>
          </w:tcPr>
          <w:p w14:paraId="7CCABF9B" w14:textId="77777777" w:rsidR="00B305CC" w:rsidRPr="00B305CC" w:rsidRDefault="00B305CC" w:rsidP="001C50D7">
            <w:pPr>
              <w:rPr>
                <w:rFonts w:ascii="仿宋_GB2312" w:eastAsia="仿宋_GB2312" w:hAnsi="仿宋_GB2312" w:cs="仿宋_GB2312"/>
                <w:szCs w:val="21"/>
              </w:rPr>
            </w:pPr>
            <w:r w:rsidRPr="00B305CC">
              <w:rPr>
                <w:rFonts w:ascii="仿宋_GB2312" w:eastAsia="仿宋_GB2312" w:hAnsi="仿宋_GB2312" w:cs="仿宋_GB2312" w:hint="eastAsia"/>
                <w:szCs w:val="21"/>
              </w:rPr>
              <w:t>信息公告期限内征集到一个符合条件的意向承租方时的处置方式：</w:t>
            </w:r>
            <w:r w:rsidRPr="00B305CC">
              <w:rPr>
                <w:rFonts w:ascii="仿宋_GB2312" w:eastAsia="仿宋_GB2312" w:hAnsi="仿宋_GB2312" w:cs="仿宋_GB2312" w:hint="eastAsia"/>
                <w:szCs w:val="21"/>
                <w:u w:val="single"/>
              </w:rPr>
              <w:t>经出租方批准，并公示3个工作日无异议后，可采取协议租赁方式成交，租金标准不低于招租底价。</w:t>
            </w:r>
          </w:p>
        </w:tc>
      </w:tr>
      <w:tr w:rsidR="00B305CC" w14:paraId="19F2ED70" w14:textId="77777777" w:rsidTr="001C50D7">
        <w:trPr>
          <w:trHeight w:val="604"/>
          <w:jc w:val="center"/>
        </w:trPr>
        <w:tc>
          <w:tcPr>
            <w:tcW w:w="8522" w:type="dxa"/>
            <w:gridSpan w:val="4"/>
          </w:tcPr>
          <w:p w14:paraId="04AAEA3C" w14:textId="77777777" w:rsidR="00B305CC" w:rsidRPr="00B305CC" w:rsidRDefault="00B305CC" w:rsidP="001C50D7">
            <w:pPr>
              <w:rPr>
                <w:rFonts w:ascii="仿宋_GB2312" w:eastAsia="仿宋_GB2312" w:hAnsi="仿宋_GB2312" w:cs="仿宋_GB2312"/>
                <w:szCs w:val="21"/>
              </w:rPr>
            </w:pPr>
            <w:r w:rsidRPr="00B305CC">
              <w:rPr>
                <w:rFonts w:ascii="仿宋_GB2312" w:eastAsia="仿宋_GB2312" w:hAnsi="仿宋_GB2312" w:cs="仿宋_GB2312" w:hint="eastAsia"/>
                <w:kern w:val="0"/>
                <w:szCs w:val="21"/>
              </w:rPr>
              <w:t>挂牌期满，如征集到两个（含）以上符合条件的意向承租方采取以下</w:t>
            </w:r>
            <w:r w:rsidRPr="00B305CC">
              <w:rPr>
                <w:rFonts w:ascii="仿宋_GB2312" w:eastAsia="仿宋_GB2312" w:hAnsi="仿宋_GB2312" w:cs="仿宋_GB2312" w:hint="eastAsia"/>
                <w:szCs w:val="21"/>
              </w:rPr>
              <w:t>交易方式：</w:t>
            </w:r>
          </w:p>
          <w:p w14:paraId="2BE8B84B" w14:textId="77777777" w:rsidR="00B305CC" w:rsidRPr="00B305CC" w:rsidRDefault="00B305CC" w:rsidP="001C50D7">
            <w:pPr>
              <w:rPr>
                <w:rFonts w:ascii="仿宋_GB2312" w:eastAsia="仿宋_GB2312" w:hAnsi="仿宋_GB2312" w:cs="仿宋_GB2312"/>
                <w:bCs/>
                <w:szCs w:val="21"/>
              </w:rPr>
            </w:pPr>
            <w:r w:rsidRPr="00B305CC">
              <w:rPr>
                <w:rFonts w:ascii="仿宋_GB2312" w:eastAsia="仿宋_GB2312" w:hAnsi="仿宋_GB2312" w:cs="仿宋_GB2312" w:hint="eastAsia"/>
                <w:szCs w:val="21"/>
              </w:rPr>
              <w:t xml:space="preserve">☑网络竞价(多轮报价）  □网络竞价（一次报价）  □综合评审  </w:t>
            </w:r>
          </w:p>
        </w:tc>
      </w:tr>
    </w:tbl>
    <w:p w14:paraId="216B412C" w14:textId="77777777" w:rsidR="00B305CC" w:rsidRDefault="00B305CC" w:rsidP="00B305CC">
      <w:pPr>
        <w:spacing w:line="240" w:lineRule="atLeast"/>
      </w:pPr>
    </w:p>
    <w:p w14:paraId="06B8D4BD" w14:textId="77777777" w:rsidR="0007080C" w:rsidRPr="00B305CC" w:rsidRDefault="0007080C">
      <w:pPr>
        <w:jc w:val="center"/>
        <w:rPr>
          <w:rFonts w:ascii="仿宋" w:eastAsia="仿宋" w:hAnsi="仿宋"/>
          <w:b/>
          <w:bCs/>
          <w:szCs w:val="21"/>
        </w:rPr>
      </w:pPr>
    </w:p>
    <w:sectPr w:rsidR="0007080C" w:rsidRPr="00B305CC" w:rsidSect="00264ABD">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842A" w14:textId="77777777" w:rsidR="00AC2108" w:rsidRDefault="00AC2108" w:rsidP="00D73C89">
      <w:pPr>
        <w:spacing w:line="240" w:lineRule="auto"/>
      </w:pPr>
      <w:r>
        <w:separator/>
      </w:r>
    </w:p>
  </w:endnote>
  <w:endnote w:type="continuationSeparator" w:id="0">
    <w:p w14:paraId="6BD80742" w14:textId="77777777" w:rsidR="00AC2108" w:rsidRDefault="00AC2108" w:rsidP="00D73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2B374" w14:textId="77777777" w:rsidR="00AC2108" w:rsidRDefault="00AC2108" w:rsidP="00D73C89">
      <w:pPr>
        <w:spacing w:line="240" w:lineRule="auto"/>
      </w:pPr>
      <w:r>
        <w:separator/>
      </w:r>
    </w:p>
  </w:footnote>
  <w:footnote w:type="continuationSeparator" w:id="0">
    <w:p w14:paraId="32584D21" w14:textId="77777777" w:rsidR="00AC2108" w:rsidRDefault="00AC2108" w:rsidP="00D73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E173"/>
    <w:multiLevelType w:val="singleLevel"/>
    <w:tmpl w:val="1E88E173"/>
    <w:lvl w:ilvl="0">
      <w:start w:val="1"/>
      <w:numFmt w:val="decimal"/>
      <w:lvlText w:val="%1."/>
      <w:lvlJc w:val="left"/>
      <w:pPr>
        <w:tabs>
          <w:tab w:val="left" w:pos="312"/>
        </w:tabs>
      </w:pPr>
    </w:lvl>
  </w:abstractNum>
  <w:abstractNum w:abstractNumId="1" w15:restartNumberingAfterBreak="0">
    <w:nsid w:val="7056674F"/>
    <w:multiLevelType w:val="hybridMultilevel"/>
    <w:tmpl w:val="C3F41F7E"/>
    <w:lvl w:ilvl="0" w:tplc="3E2CA704">
      <w:start w:val="2"/>
      <w:numFmt w:val="decimal"/>
      <w:lvlText w:val="%1、"/>
      <w:lvlJc w:val="left"/>
      <w:pPr>
        <w:ind w:left="303" w:hanging="360"/>
      </w:pPr>
      <w:rPr>
        <w:rFonts w:cs="Times New Roman" w:hint="default"/>
      </w:rPr>
    </w:lvl>
    <w:lvl w:ilvl="1" w:tplc="04090019" w:tentative="1">
      <w:start w:val="1"/>
      <w:numFmt w:val="lowerLetter"/>
      <w:lvlText w:val="%2)"/>
      <w:lvlJc w:val="left"/>
      <w:pPr>
        <w:ind w:left="823" w:hanging="440"/>
      </w:pPr>
    </w:lvl>
    <w:lvl w:ilvl="2" w:tplc="0409001B" w:tentative="1">
      <w:start w:val="1"/>
      <w:numFmt w:val="lowerRoman"/>
      <w:lvlText w:val="%3."/>
      <w:lvlJc w:val="right"/>
      <w:pPr>
        <w:ind w:left="1263" w:hanging="440"/>
      </w:pPr>
    </w:lvl>
    <w:lvl w:ilvl="3" w:tplc="0409000F" w:tentative="1">
      <w:start w:val="1"/>
      <w:numFmt w:val="decimal"/>
      <w:lvlText w:val="%4."/>
      <w:lvlJc w:val="left"/>
      <w:pPr>
        <w:ind w:left="1703" w:hanging="440"/>
      </w:pPr>
    </w:lvl>
    <w:lvl w:ilvl="4" w:tplc="04090019" w:tentative="1">
      <w:start w:val="1"/>
      <w:numFmt w:val="lowerLetter"/>
      <w:lvlText w:val="%5)"/>
      <w:lvlJc w:val="left"/>
      <w:pPr>
        <w:ind w:left="2143" w:hanging="440"/>
      </w:pPr>
    </w:lvl>
    <w:lvl w:ilvl="5" w:tplc="0409001B" w:tentative="1">
      <w:start w:val="1"/>
      <w:numFmt w:val="lowerRoman"/>
      <w:lvlText w:val="%6."/>
      <w:lvlJc w:val="right"/>
      <w:pPr>
        <w:ind w:left="2583" w:hanging="440"/>
      </w:pPr>
    </w:lvl>
    <w:lvl w:ilvl="6" w:tplc="0409000F" w:tentative="1">
      <w:start w:val="1"/>
      <w:numFmt w:val="decimal"/>
      <w:lvlText w:val="%7."/>
      <w:lvlJc w:val="left"/>
      <w:pPr>
        <w:ind w:left="3023" w:hanging="440"/>
      </w:pPr>
    </w:lvl>
    <w:lvl w:ilvl="7" w:tplc="04090019" w:tentative="1">
      <w:start w:val="1"/>
      <w:numFmt w:val="lowerLetter"/>
      <w:lvlText w:val="%8)"/>
      <w:lvlJc w:val="left"/>
      <w:pPr>
        <w:ind w:left="3463" w:hanging="440"/>
      </w:pPr>
    </w:lvl>
    <w:lvl w:ilvl="8" w:tplc="0409001B" w:tentative="1">
      <w:start w:val="1"/>
      <w:numFmt w:val="lowerRoman"/>
      <w:lvlText w:val="%9."/>
      <w:lvlJc w:val="right"/>
      <w:pPr>
        <w:ind w:left="3903" w:hanging="440"/>
      </w:pPr>
    </w:lvl>
  </w:abstractNum>
  <w:abstractNum w:abstractNumId="2" w15:restartNumberingAfterBreak="0">
    <w:nsid w:val="770A1736"/>
    <w:multiLevelType w:val="multilevel"/>
    <w:tmpl w:val="770A1736"/>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11326264">
    <w:abstractNumId w:val="0"/>
  </w:num>
  <w:num w:numId="2" w16cid:durableId="1052970405">
    <w:abstractNumId w:val="2"/>
  </w:num>
  <w:num w:numId="3" w16cid:durableId="19096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8F"/>
    <w:rsid w:val="0007080C"/>
    <w:rsid w:val="00097196"/>
    <w:rsid w:val="000C7931"/>
    <w:rsid w:val="00155F4E"/>
    <w:rsid w:val="00161686"/>
    <w:rsid w:val="001C31F5"/>
    <w:rsid w:val="00264ABD"/>
    <w:rsid w:val="00381828"/>
    <w:rsid w:val="003B5449"/>
    <w:rsid w:val="003F5B01"/>
    <w:rsid w:val="00602EBB"/>
    <w:rsid w:val="00656E8F"/>
    <w:rsid w:val="00697CF2"/>
    <w:rsid w:val="006D53C3"/>
    <w:rsid w:val="007369F8"/>
    <w:rsid w:val="007A0371"/>
    <w:rsid w:val="00A4230C"/>
    <w:rsid w:val="00A66494"/>
    <w:rsid w:val="00AC2108"/>
    <w:rsid w:val="00AF4F50"/>
    <w:rsid w:val="00B305CC"/>
    <w:rsid w:val="00B9125D"/>
    <w:rsid w:val="00BE0F5A"/>
    <w:rsid w:val="00BE1E97"/>
    <w:rsid w:val="00C3434A"/>
    <w:rsid w:val="00D73C89"/>
    <w:rsid w:val="00DB3C57"/>
    <w:rsid w:val="00FB1B33"/>
    <w:rsid w:val="00FC73EA"/>
    <w:rsid w:val="00FE1407"/>
    <w:rsid w:val="2316673F"/>
    <w:rsid w:val="27240C7E"/>
    <w:rsid w:val="6BA5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8EA8"/>
  <w15:docId w15:val="{D8324562-B8FD-446B-9065-C9856FAA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spacing w:line="360" w:lineRule="auto"/>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pPr>
      <w:jc w:val="both"/>
    </w:pPr>
    <w:rPr>
      <w:rFonts w:ascii="Calibri" w:hAnsi="Calibri"/>
      <w:szCs w:val="22"/>
    </w:rPr>
  </w:style>
  <w:style w:type="character" w:styleId="a3">
    <w:name w:val="Hyperlink"/>
    <w:uiPriority w:val="99"/>
    <w:unhideWhenUsed/>
    <w:qFormat/>
    <w:rPr>
      <w:rFonts w:ascii="Arial" w:hAnsi="Arial" w:cs="Arial"/>
      <w:color w:val="333333"/>
      <w:u w:val="none"/>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D73C89"/>
    <w:pP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D73C89"/>
    <w:rPr>
      <w:rFonts w:ascii="Times New Roman" w:eastAsia="宋体" w:hAnsi="Times New Roman" w:cs="Times New Roman"/>
      <w:kern w:val="2"/>
      <w:sz w:val="18"/>
      <w:szCs w:val="18"/>
    </w:rPr>
  </w:style>
  <w:style w:type="paragraph" w:styleId="a7">
    <w:name w:val="footer"/>
    <w:basedOn w:val="a"/>
    <w:link w:val="a8"/>
    <w:uiPriority w:val="99"/>
    <w:unhideWhenUsed/>
    <w:rsid w:val="00D73C89"/>
    <w:pPr>
      <w:tabs>
        <w:tab w:val="center" w:pos="4153"/>
        <w:tab w:val="right" w:pos="8306"/>
      </w:tabs>
      <w:spacing w:line="240" w:lineRule="auto"/>
    </w:pPr>
    <w:rPr>
      <w:sz w:val="18"/>
      <w:szCs w:val="18"/>
    </w:rPr>
  </w:style>
  <w:style w:type="character" w:customStyle="1" w:styleId="a8">
    <w:name w:val="页脚 字符"/>
    <w:basedOn w:val="a0"/>
    <w:link w:val="a7"/>
    <w:uiPriority w:val="99"/>
    <w:rsid w:val="00D73C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陈枫阳</dc:creator>
  <cp:lastModifiedBy>office</cp:lastModifiedBy>
  <cp:revision>17</cp:revision>
  <cp:lastPrinted>2023-11-08T04:35:00Z</cp:lastPrinted>
  <dcterms:created xsi:type="dcterms:W3CDTF">2023-04-07T08:26:00Z</dcterms:created>
  <dcterms:modified xsi:type="dcterms:W3CDTF">2023-12-12T06:40:00Z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