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ordWrap w:val="0"/>
        <w:autoSpaceDE w:val="0"/>
        <w:autoSpaceDN w:val="0"/>
        <w:adjustRightInd w:val="0"/>
        <w:snapToGrid w:val="0"/>
        <w:spacing w:line="360" w:lineRule="auto"/>
        <w:ind w:firstLine="0" w:firstLineChars="0"/>
        <w:jc w:val="center"/>
        <w:outlineLvl w:val="0"/>
        <w:rPr>
          <w:rFonts w:hint="eastAsia" w:ascii="宋体" w:hAnsi="宋体" w:eastAsia="宋体" w:cs="宋体"/>
          <w:kern w:val="0"/>
          <w:sz w:val="24"/>
          <w:szCs w:val="24"/>
          <w:lang w:val="en-US" w:eastAsia="zh-CN" w:bidi="ar-SA"/>
        </w:rPr>
      </w:pPr>
      <w:bookmarkStart w:id="0" w:name="_Toc141946922"/>
      <w:r>
        <w:rPr>
          <w:rFonts w:hint="eastAsia" w:ascii="宋体" w:hAnsi="宋体" w:eastAsia="宋体" w:cs="宋体"/>
          <w:kern w:val="0"/>
          <w:sz w:val="21"/>
          <w:szCs w:val="21"/>
          <w:lang w:val="en-US" w:eastAsia="zh-CN" w:bidi="ar-SA"/>
        </w:rPr>
        <w:t>大铲湾蓝色未来科技园第4、5、6、7栋公开招租公告</w:t>
      </w:r>
      <w:bookmarkStart w:id="1" w:name="_GoBack"/>
      <w:bookmarkEnd w:id="1"/>
    </w:p>
    <w:bookmarkEnd w:id="0"/>
    <w:tbl>
      <w:tblPr>
        <w:tblStyle w:val="5"/>
        <w:tblW w:w="9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2573"/>
        <w:gridCol w:w="5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11" w:type="dxa"/>
            <w:gridSpan w:val="2"/>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项目编号</w:t>
            </w:r>
          </w:p>
        </w:tc>
        <w:tc>
          <w:tcPr>
            <w:tcW w:w="5568" w:type="dxa"/>
            <w:vAlign w:val="center"/>
          </w:tcPr>
          <w:p>
            <w:pPr>
              <w:wordWrap w:val="0"/>
              <w:autoSpaceDE w:val="0"/>
              <w:autoSpaceDN w:val="0"/>
              <w:adjustRightInd w:val="0"/>
              <w:snapToGrid w:val="0"/>
              <w:spacing w:line="360" w:lineRule="auto"/>
              <w:jc w:val="left"/>
              <w:rPr>
                <w:rFonts w:ascii="宋体" w:hAnsi="宋体" w:cs="宋体"/>
                <w:kern w:val="0"/>
                <w:szCs w:val="21"/>
              </w:rPr>
            </w:pPr>
            <w:r>
              <w:rPr>
                <w:rFonts w:hint="eastAsia" w:ascii="宋体" w:hAnsi="宋体" w:cs="宋体"/>
                <w:kern w:val="0"/>
                <w:szCs w:val="21"/>
              </w:rPr>
              <w:t>JC002301537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111" w:type="dxa"/>
            <w:gridSpan w:val="2"/>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项目名称</w:t>
            </w:r>
          </w:p>
        </w:tc>
        <w:tc>
          <w:tcPr>
            <w:tcW w:w="5568" w:type="dxa"/>
            <w:vAlign w:val="center"/>
          </w:tcPr>
          <w:p>
            <w:pPr>
              <w:wordWrap w:val="0"/>
              <w:autoSpaceDE w:val="0"/>
              <w:autoSpaceDN w:val="0"/>
              <w:adjustRightInd w:val="0"/>
              <w:snapToGrid w:val="0"/>
              <w:spacing w:line="360" w:lineRule="auto"/>
              <w:jc w:val="left"/>
              <w:rPr>
                <w:rFonts w:ascii="宋体" w:hAnsi="宋体" w:cs="宋体"/>
                <w:kern w:val="0"/>
                <w:szCs w:val="21"/>
              </w:rPr>
            </w:pPr>
            <w:r>
              <w:rPr>
                <w:rFonts w:hint="eastAsia" w:ascii="宋体" w:hAnsi="宋体" w:cs="宋体"/>
                <w:kern w:val="0"/>
                <w:szCs w:val="21"/>
              </w:rPr>
              <w:t>大铲湾蓝色未来科技园第4、5、6、7栋物业公开招租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111" w:type="dxa"/>
            <w:gridSpan w:val="2"/>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招租方</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深圳市大铲湾商业运营管理有限公司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8" w:type="dxa"/>
            <w:vMerge w:val="restart"/>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公告</w:t>
            </w:r>
          </w:p>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时间</w:t>
            </w: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起始日期</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u w:val="single"/>
              </w:rPr>
            </w:pPr>
            <w:r>
              <w:rPr>
                <w:rFonts w:hint="eastAsia" w:ascii="宋体" w:hAnsi="宋体" w:cs="宋体"/>
                <w:kern w:val="0"/>
                <w:szCs w:val="21"/>
              </w:rPr>
              <w:t>202</w:t>
            </w:r>
            <w:r>
              <w:rPr>
                <w:rFonts w:ascii="宋体" w:hAnsi="宋体" w:cs="宋体"/>
                <w:kern w:val="0"/>
                <w:szCs w:val="21"/>
              </w:rPr>
              <w:t>3</w:t>
            </w:r>
            <w:r>
              <w:rPr>
                <w:rFonts w:hint="eastAsia" w:ascii="宋体" w:hAnsi="宋体" w:cs="宋体"/>
                <w:kern w:val="0"/>
                <w:szCs w:val="21"/>
              </w:rPr>
              <w:t>年</w:t>
            </w:r>
            <w:r>
              <w:rPr>
                <w:rFonts w:hint="eastAsia" w:ascii="宋体" w:hAnsi="宋体" w:cs="宋体"/>
                <w:kern w:val="0"/>
                <w:szCs w:val="21"/>
                <w:lang w:val="en-US" w:eastAsia="zh-CN"/>
              </w:rPr>
              <w:t>9</w:t>
            </w:r>
            <w:r>
              <w:rPr>
                <w:rFonts w:hint="eastAsia" w:ascii="宋体" w:hAnsi="宋体" w:cs="宋体"/>
                <w:kern w:val="0"/>
                <w:szCs w:val="21"/>
              </w:rPr>
              <w:t>月</w:t>
            </w:r>
            <w:r>
              <w:rPr>
                <w:rFonts w:hint="eastAsia" w:ascii="宋体" w:hAnsi="宋体" w:cs="宋体"/>
                <w:kern w:val="0"/>
                <w:szCs w:val="21"/>
                <w:lang w:val="en-US" w:eastAsia="zh-CN"/>
              </w:rPr>
              <w:t>14</w:t>
            </w:r>
            <w:r>
              <w:rPr>
                <w:rFonts w:hint="eastAsia" w:ascii="宋体" w:hAnsi="宋体" w:cs="宋体"/>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截止日期</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202</w:t>
            </w:r>
            <w:r>
              <w:rPr>
                <w:rFonts w:ascii="宋体" w:hAnsi="宋体" w:cs="宋体"/>
                <w:kern w:val="0"/>
                <w:szCs w:val="21"/>
              </w:rPr>
              <w:t>3</w:t>
            </w:r>
            <w:r>
              <w:rPr>
                <w:rFonts w:hint="eastAsia" w:ascii="宋体" w:hAnsi="宋体" w:cs="宋体"/>
                <w:kern w:val="0"/>
                <w:szCs w:val="21"/>
              </w:rPr>
              <w:t>年</w:t>
            </w:r>
            <w:r>
              <w:rPr>
                <w:rFonts w:hint="eastAsia" w:ascii="宋体" w:hAnsi="宋体" w:cs="宋体"/>
                <w:kern w:val="0"/>
                <w:szCs w:val="21"/>
                <w:lang w:val="en-US" w:eastAsia="zh-CN"/>
              </w:rPr>
              <w:t>9</w:t>
            </w:r>
            <w:r>
              <w:rPr>
                <w:rFonts w:hint="eastAsia" w:ascii="宋体" w:hAnsi="宋体" w:cs="宋体"/>
                <w:kern w:val="0"/>
                <w:szCs w:val="21"/>
              </w:rPr>
              <w:t>月</w:t>
            </w:r>
            <w:r>
              <w:rPr>
                <w:rFonts w:hint="eastAsia" w:ascii="宋体" w:hAnsi="宋体" w:cs="宋体"/>
                <w:kern w:val="0"/>
                <w:szCs w:val="21"/>
                <w:lang w:val="en-US" w:eastAsia="zh-CN"/>
              </w:rPr>
              <w:t>27</w:t>
            </w:r>
            <w:r>
              <w:rPr>
                <w:rFonts w:hint="eastAsia" w:ascii="宋体" w:hAnsi="宋体" w:cs="宋体"/>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restart"/>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szCs w:val="21"/>
              </w:rPr>
            </w:pPr>
            <w:r>
              <w:rPr>
                <w:rFonts w:hint="eastAsia" w:ascii="宋体" w:hAnsi="宋体" w:cs="宋体"/>
                <w:kern w:val="0"/>
                <w:szCs w:val="21"/>
              </w:rPr>
              <w:t>出租资产基本情况</w:t>
            </w: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出租资产位置</w:t>
            </w:r>
          </w:p>
        </w:tc>
        <w:tc>
          <w:tcPr>
            <w:tcW w:w="5568" w:type="dxa"/>
            <w:vAlign w:val="center"/>
          </w:tcPr>
          <w:p>
            <w:pPr>
              <w:pStyle w:val="3"/>
            </w:pPr>
            <w:r>
              <w:rPr>
                <w:rFonts w:hint="eastAsia"/>
              </w:rPr>
              <w:t>深圳市宝安区西乡街道</w:t>
            </w:r>
            <w:r>
              <w:rPr>
                <w:rFonts w:hint="eastAsia" w:ascii="宋体" w:hAnsi="宋体" w:cs="宋体"/>
                <w:kern w:val="0"/>
                <w:szCs w:val="21"/>
              </w:rPr>
              <w:t>大铲湾港区辅八路蓝色未来科技园第4、5、6、7栋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出租资产面积</w:t>
            </w:r>
          </w:p>
        </w:tc>
        <w:tc>
          <w:tcPr>
            <w:tcW w:w="5568" w:type="dxa"/>
            <w:vAlign w:val="center"/>
          </w:tcPr>
          <w:p>
            <w:pPr>
              <w:wordWrap w:val="0"/>
              <w:autoSpaceDE w:val="0"/>
              <w:autoSpaceDN w:val="0"/>
              <w:adjustRightInd w:val="0"/>
              <w:snapToGrid w:val="0"/>
              <w:spacing w:line="360" w:lineRule="auto"/>
              <w:jc w:val="left"/>
              <w:rPr>
                <w:rFonts w:ascii="宋体" w:hAnsi="宋体" w:cs="宋体"/>
                <w:kern w:val="0"/>
                <w:szCs w:val="21"/>
              </w:rPr>
            </w:pPr>
            <w:r>
              <w:rPr>
                <w:rFonts w:hint="eastAsia" w:ascii="宋体" w:hAnsi="宋体" w:cs="宋体"/>
                <w:kern w:val="0"/>
                <w:szCs w:val="21"/>
              </w:rPr>
              <w:t>44471.54㎡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招租底价</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57元</w:t>
            </w:r>
            <w:r>
              <w:rPr>
                <w:rFonts w:ascii="宋体" w:hAnsi="宋体" w:cs="宋体"/>
                <w:kern w:val="0"/>
                <w:szCs w:val="21"/>
              </w:rPr>
              <w:t>/</w:t>
            </w:r>
            <w:r>
              <w:rPr>
                <w:rFonts w:hint="eastAsia" w:ascii="宋体" w:hAnsi="宋体" w:cs="宋体"/>
                <w:kern w:val="0"/>
                <w:szCs w:val="21"/>
              </w:rPr>
              <w:t>㎡</w:t>
            </w:r>
            <w:r>
              <w:rPr>
                <w:rFonts w:ascii="宋体" w:hAnsi="宋体" w:cs="宋体"/>
                <w:kern w:val="0"/>
                <w:szCs w:val="21"/>
              </w:rPr>
              <w:t>/</w:t>
            </w:r>
            <w:r>
              <w:rPr>
                <w:rFonts w:hint="eastAsia" w:ascii="宋体" w:hAnsi="宋体" w:cs="宋体"/>
                <w:kern w:val="0"/>
                <w:szCs w:val="21"/>
              </w:rPr>
              <w:t>月（不含物业管理费：9.50元</w:t>
            </w:r>
            <w:r>
              <w:rPr>
                <w:rFonts w:ascii="宋体" w:hAnsi="宋体" w:cs="宋体"/>
                <w:kern w:val="0"/>
                <w:szCs w:val="21"/>
              </w:rPr>
              <w:t>/</w:t>
            </w:r>
            <w:r>
              <w:rPr>
                <w:rFonts w:hint="eastAsia" w:ascii="宋体" w:hAnsi="宋体" w:cs="宋体"/>
                <w:kern w:val="0"/>
                <w:szCs w:val="21"/>
              </w:rPr>
              <w:t>㎡</w:t>
            </w:r>
            <w:r>
              <w:rPr>
                <w:rFonts w:ascii="宋体" w:hAnsi="宋体" w:cs="宋体"/>
                <w:kern w:val="0"/>
                <w:szCs w:val="21"/>
              </w:rPr>
              <w:t>/</w:t>
            </w:r>
            <w:r>
              <w:rPr>
                <w:rFonts w:hint="eastAsia" w:ascii="宋体" w:hAnsi="宋体" w:cs="宋体"/>
                <w:kern w:val="0"/>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租金递增幅度</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color w:val="FF0000"/>
                <w:kern w:val="0"/>
                <w:szCs w:val="21"/>
              </w:rPr>
            </w:pPr>
            <w:r>
              <w:rPr>
                <w:rFonts w:hint="eastAsia" w:ascii="宋体" w:hAnsi="宋体" w:cs="宋体"/>
                <w:szCs w:val="21"/>
              </w:rPr>
              <w:t>租金单价第一年按中标价，每满两年在上年度</w:t>
            </w:r>
            <w:r>
              <w:rPr>
                <w:rFonts w:ascii="宋体" w:hAnsi="宋体" w:cs="宋体"/>
                <w:szCs w:val="21"/>
              </w:rPr>
              <w:t>的租金单价基础上</w:t>
            </w:r>
            <w:r>
              <w:rPr>
                <w:rFonts w:hint="eastAsia" w:ascii="宋体" w:hAnsi="宋体" w:cs="宋体"/>
                <w:szCs w:val="21"/>
              </w:rPr>
              <w:t>递增3%。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物业管理费</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9.50元/㎡/月，该费用由承租方支付给深圳市大铲湾智城物业服务有限公司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空调费</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其他费用</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租金支付方式</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一月一付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出租期限</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免租期</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免租期为6个月（免租期内承租方需支付物业管理费及水电费等）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tcPr>
          <w:p>
            <w:pPr>
              <w:wordWrap w:val="0"/>
              <w:autoSpaceDE w:val="0"/>
              <w:autoSpaceDN w:val="0"/>
              <w:adjustRightInd w:val="0"/>
              <w:snapToGrid w:val="0"/>
              <w:spacing w:line="360" w:lineRule="auto"/>
              <w:jc w:val="center"/>
              <w:textAlignment w:val="center"/>
              <w:rPr>
                <w:rFonts w:ascii="宋体" w:hAnsi="宋体" w:cs="宋体"/>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经营业态限定</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低空经济产业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tcPr>
          <w:p>
            <w:pPr>
              <w:wordWrap w:val="0"/>
              <w:autoSpaceDE w:val="0"/>
              <w:autoSpaceDN w:val="0"/>
              <w:adjustRightInd w:val="0"/>
              <w:snapToGrid w:val="0"/>
              <w:spacing w:line="360" w:lineRule="auto"/>
              <w:jc w:val="center"/>
              <w:textAlignment w:val="center"/>
              <w:rPr>
                <w:rFonts w:ascii="宋体" w:hAnsi="宋体" w:cs="宋体"/>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出租资产用途</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对外交通用地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tcPr>
          <w:p>
            <w:pPr>
              <w:wordWrap w:val="0"/>
              <w:autoSpaceDE w:val="0"/>
              <w:autoSpaceDN w:val="0"/>
              <w:adjustRightInd w:val="0"/>
              <w:snapToGrid w:val="0"/>
              <w:spacing w:line="360" w:lineRule="auto"/>
              <w:jc w:val="center"/>
              <w:textAlignment w:val="center"/>
              <w:rPr>
                <w:rFonts w:ascii="宋体" w:hAnsi="宋体" w:cs="宋体"/>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出租资产现状</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空置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38" w:type="dxa"/>
            <w:vMerge w:val="continue"/>
            <w:shd w:val="clear" w:color="auto" w:fill="DBE5F1"/>
          </w:tcPr>
          <w:p>
            <w:pPr>
              <w:wordWrap w:val="0"/>
              <w:autoSpaceDE w:val="0"/>
              <w:autoSpaceDN w:val="0"/>
              <w:adjustRightInd w:val="0"/>
              <w:snapToGrid w:val="0"/>
              <w:spacing w:line="360" w:lineRule="auto"/>
              <w:jc w:val="center"/>
              <w:textAlignment w:val="center"/>
              <w:rPr>
                <w:rFonts w:ascii="宋体" w:hAnsi="宋体" w:cs="宋体"/>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出租物业装修情况</w:t>
            </w:r>
          </w:p>
        </w:tc>
        <w:tc>
          <w:tcPr>
            <w:tcW w:w="5568" w:type="dxa"/>
            <w:vAlign w:val="center"/>
          </w:tcPr>
          <w:p>
            <w:pPr>
              <w:pStyle w:val="3"/>
              <w:rPr>
                <w:rFonts w:ascii="宋体" w:hAnsi="宋体" w:cs="宋体"/>
                <w:kern w:val="0"/>
                <w:szCs w:val="21"/>
              </w:rPr>
            </w:pPr>
            <w:r>
              <w:rPr>
                <w:rFonts w:hint="eastAsia"/>
              </w:rPr>
              <w:t>毛坯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tcPr>
          <w:p>
            <w:pPr>
              <w:wordWrap w:val="0"/>
              <w:autoSpaceDE w:val="0"/>
              <w:autoSpaceDN w:val="0"/>
              <w:adjustRightInd w:val="0"/>
              <w:snapToGrid w:val="0"/>
              <w:spacing w:line="360" w:lineRule="auto"/>
              <w:jc w:val="center"/>
              <w:textAlignment w:val="center"/>
              <w:rPr>
                <w:rFonts w:ascii="宋体" w:hAnsi="宋体" w:cs="宋体"/>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是否允许承租方对物业进行二次装修</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是（承租方在进行租赁物业装修前，必须报出租方指定的物业公司审核装修方案及装修设计平面图、消防及水电施工等图纸。装修的报批、验收等手续及有关费用由承租方自行负责，并及时将消防等相关部门的审批、验收合格文件复印件加盖公章后提交给出租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tcPr>
          <w:p>
            <w:pPr>
              <w:wordWrap w:val="0"/>
              <w:autoSpaceDE w:val="0"/>
              <w:autoSpaceDN w:val="0"/>
              <w:adjustRightInd w:val="0"/>
              <w:snapToGrid w:val="0"/>
              <w:spacing w:line="360" w:lineRule="auto"/>
              <w:jc w:val="center"/>
              <w:textAlignment w:val="center"/>
              <w:rPr>
                <w:rFonts w:ascii="宋体" w:hAnsi="宋体" w:cs="宋体"/>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是否涉及优先承租权</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38" w:type="dxa"/>
            <w:vMerge w:val="continue"/>
            <w:shd w:val="clear" w:color="auto" w:fill="DBE5F1"/>
          </w:tcPr>
          <w:p>
            <w:pPr>
              <w:wordWrap w:val="0"/>
              <w:autoSpaceDE w:val="0"/>
              <w:autoSpaceDN w:val="0"/>
              <w:adjustRightInd w:val="0"/>
              <w:snapToGrid w:val="0"/>
              <w:spacing w:line="360" w:lineRule="auto"/>
              <w:jc w:val="center"/>
              <w:textAlignment w:val="center"/>
              <w:rPr>
                <w:rFonts w:ascii="宋体" w:hAnsi="宋体" w:cs="宋体"/>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租赁保证金</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成交价计算的3个月租金，</w:t>
            </w:r>
            <w:r>
              <w:rPr>
                <w:rFonts w:hint="eastAsia" w:ascii="宋体" w:hAnsi="宋体" w:cs="宋体"/>
                <w:kern w:val="0"/>
                <w:szCs w:val="21"/>
                <w:highlight w:val="none"/>
              </w:rPr>
              <w:t>中选后</w:t>
            </w:r>
            <w:r>
              <w:rPr>
                <w:rFonts w:ascii="宋体" w:hAnsi="宋体" w:cs="宋体"/>
                <w:kern w:val="0"/>
                <w:szCs w:val="21"/>
                <w:highlight w:val="none"/>
              </w:rPr>
              <w:t>，</w:t>
            </w:r>
            <w:r>
              <w:rPr>
                <w:rFonts w:hint="eastAsia" w:ascii="宋体" w:hAnsi="宋体" w:cs="宋体"/>
                <w:kern w:val="0"/>
                <w:szCs w:val="21"/>
                <w:highlight w:val="none"/>
              </w:rPr>
              <w:t>竞价保证金转为租赁保证金，并转至出租方指定对公账户（不足部分</w:t>
            </w:r>
            <w:r>
              <w:rPr>
                <w:rFonts w:ascii="宋体" w:hAnsi="宋体" w:cs="宋体"/>
                <w:kern w:val="0"/>
                <w:szCs w:val="21"/>
                <w:highlight w:val="none"/>
              </w:rPr>
              <w:t>由承租人补足</w:t>
            </w:r>
            <w:r>
              <w:rPr>
                <w:rFonts w:hint="eastAsia" w:ascii="宋体" w:hAnsi="宋体" w:cs="宋体"/>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8" w:type="dxa"/>
            <w:vMerge w:val="continue"/>
            <w:shd w:val="clear" w:color="auto" w:fill="DBE5F1"/>
          </w:tcPr>
          <w:p>
            <w:pPr>
              <w:wordWrap w:val="0"/>
              <w:autoSpaceDE w:val="0"/>
              <w:autoSpaceDN w:val="0"/>
              <w:adjustRightInd w:val="0"/>
              <w:snapToGrid w:val="0"/>
              <w:spacing w:line="360" w:lineRule="auto"/>
              <w:jc w:val="center"/>
              <w:textAlignment w:val="center"/>
              <w:rPr>
                <w:rFonts w:ascii="宋体" w:hAnsi="宋体" w:cs="宋体"/>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履约条件</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详见第二章招租方需求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8" w:type="dxa"/>
            <w:vMerge w:val="continue"/>
            <w:shd w:val="clear" w:color="auto" w:fill="DBE5F1"/>
          </w:tcPr>
          <w:p>
            <w:pPr>
              <w:wordWrap w:val="0"/>
              <w:autoSpaceDE w:val="0"/>
              <w:autoSpaceDN w:val="0"/>
              <w:adjustRightInd w:val="0"/>
              <w:snapToGrid w:val="0"/>
              <w:spacing w:line="360" w:lineRule="auto"/>
              <w:jc w:val="center"/>
              <w:textAlignment w:val="center"/>
              <w:rPr>
                <w:rFonts w:ascii="宋体" w:hAnsi="宋体" w:cs="宋体"/>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其他</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出租方有权在签订租赁合同之前对不影响租赁合同实质性条款作适当的调整。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restart"/>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szCs w:val="21"/>
              </w:rPr>
            </w:pPr>
            <w:r>
              <w:rPr>
                <w:rFonts w:hint="eastAsia" w:ascii="宋体" w:hAnsi="宋体" w:cs="宋体"/>
                <w:szCs w:val="21"/>
              </w:rPr>
              <w:t>竞价人资格</w:t>
            </w:r>
          </w:p>
          <w:p>
            <w:pPr>
              <w:wordWrap w:val="0"/>
              <w:autoSpaceDE w:val="0"/>
              <w:autoSpaceDN w:val="0"/>
              <w:adjustRightInd w:val="0"/>
              <w:snapToGrid w:val="0"/>
              <w:spacing w:line="360" w:lineRule="auto"/>
              <w:jc w:val="center"/>
              <w:textAlignment w:val="center"/>
              <w:rPr>
                <w:rFonts w:ascii="宋体" w:hAnsi="宋体" w:cs="宋体"/>
                <w:szCs w:val="21"/>
              </w:rPr>
            </w:pPr>
            <w:r>
              <w:rPr>
                <w:rFonts w:hint="eastAsia" w:ascii="宋体" w:hAnsi="宋体" w:cs="宋体"/>
                <w:szCs w:val="21"/>
              </w:rPr>
              <w:t>要求</w:t>
            </w: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竞价人应具备的</w:t>
            </w:r>
          </w:p>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资格条件</w:t>
            </w:r>
          </w:p>
        </w:tc>
        <w:tc>
          <w:tcPr>
            <w:tcW w:w="5568" w:type="dxa"/>
            <w:shd w:val="clear" w:color="auto" w:fill="FFFFFF"/>
            <w:vAlign w:val="center"/>
          </w:tcPr>
          <w:p>
            <w:pPr>
              <w:wordWrap w:val="0"/>
              <w:autoSpaceDE w:val="0"/>
              <w:autoSpaceDN w:val="0"/>
              <w:adjustRightInd w:val="0"/>
              <w:snapToGrid w:val="0"/>
              <w:spacing w:line="360" w:lineRule="auto"/>
              <w:jc w:val="left"/>
              <w:rPr>
                <w:rFonts w:ascii="宋体" w:hAnsi="宋体" w:cs="宋体"/>
                <w:kern w:val="0"/>
                <w:szCs w:val="21"/>
              </w:rPr>
            </w:pPr>
            <w:r>
              <w:rPr>
                <w:rFonts w:hint="eastAsia" w:ascii="宋体" w:hAnsi="宋体" w:cs="宋体"/>
                <w:kern w:val="0"/>
                <w:szCs w:val="21"/>
              </w:rPr>
              <w:t>1、竞价人须为中华人民共和国境内（港、澳、台地区除外）依法注册的独立法人企业；</w:t>
            </w:r>
          </w:p>
          <w:p>
            <w:pPr>
              <w:wordWrap w:val="0"/>
              <w:autoSpaceDE w:val="0"/>
              <w:autoSpaceDN w:val="0"/>
              <w:adjustRightInd w:val="0"/>
              <w:snapToGrid w:val="0"/>
              <w:spacing w:line="360" w:lineRule="auto"/>
              <w:jc w:val="left"/>
              <w:rPr>
                <w:rFonts w:ascii="宋体" w:hAnsi="宋体" w:cs="宋体"/>
                <w:kern w:val="0"/>
                <w:szCs w:val="21"/>
              </w:rPr>
            </w:pPr>
            <w:r>
              <w:rPr>
                <w:rFonts w:hint="eastAsia" w:ascii="宋体" w:hAnsi="宋体" w:cs="宋体"/>
                <w:kern w:val="0"/>
                <w:szCs w:val="21"/>
              </w:rPr>
              <w:t>2、竞价人实缴注册资本不低于人民币2000万元；</w:t>
            </w:r>
          </w:p>
          <w:p>
            <w:pPr>
              <w:wordWrap w:val="0"/>
              <w:autoSpaceDE w:val="0"/>
              <w:autoSpaceDN w:val="0"/>
              <w:adjustRightInd w:val="0"/>
              <w:snapToGrid w:val="0"/>
              <w:spacing w:line="360" w:lineRule="auto"/>
              <w:jc w:val="left"/>
              <w:rPr>
                <w:rFonts w:ascii="宋体" w:hAnsi="宋体" w:cs="宋体"/>
                <w:kern w:val="0"/>
                <w:szCs w:val="21"/>
              </w:rPr>
            </w:pPr>
            <w:r>
              <w:rPr>
                <w:rFonts w:hint="eastAsia" w:ascii="宋体" w:hAnsi="宋体" w:cs="宋体"/>
                <w:kern w:val="0"/>
                <w:szCs w:val="21"/>
              </w:rPr>
              <w:t>3、竞价人须具有通用航空企业经营许可证；</w:t>
            </w:r>
          </w:p>
          <w:p>
            <w:pPr>
              <w:wordWrap w:val="0"/>
              <w:autoSpaceDE w:val="0"/>
              <w:autoSpaceDN w:val="0"/>
              <w:adjustRightInd w:val="0"/>
              <w:snapToGrid w:val="0"/>
              <w:spacing w:line="360" w:lineRule="auto"/>
              <w:jc w:val="left"/>
              <w:rPr>
                <w:rFonts w:ascii="宋体" w:hAnsi="宋体" w:cs="宋体"/>
                <w:kern w:val="0"/>
                <w:szCs w:val="21"/>
              </w:rPr>
            </w:pPr>
            <w:r>
              <w:rPr>
                <w:rFonts w:hint="eastAsia" w:ascii="宋体" w:hAnsi="宋体" w:cs="宋体"/>
                <w:kern w:val="0"/>
                <w:szCs w:val="21"/>
              </w:rPr>
              <w:t>4、竞价人在中国执行信息公开网（http://zxgk.court.gov.cn/）中未被列入失信被执行人；</w:t>
            </w:r>
          </w:p>
          <w:p>
            <w:pPr>
              <w:wordWrap w:val="0"/>
              <w:autoSpaceDE w:val="0"/>
              <w:autoSpaceDN w:val="0"/>
              <w:adjustRightInd w:val="0"/>
              <w:snapToGrid w:val="0"/>
              <w:spacing w:line="360" w:lineRule="auto"/>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、近三年内，竞价人在国家企业信用信息公示系统（http://www.gsxt.gov.cn/）中未被列入经营异常名录；</w:t>
            </w:r>
          </w:p>
          <w:p>
            <w:pPr>
              <w:wordWrap w:val="0"/>
              <w:autoSpaceDE w:val="0"/>
              <w:autoSpaceDN w:val="0"/>
              <w:adjustRightInd w:val="0"/>
              <w:snapToGrid w:val="0"/>
              <w:spacing w:line="360" w:lineRule="auto"/>
              <w:jc w:val="left"/>
              <w:rPr>
                <w:rFonts w:ascii="宋体" w:hAnsi="宋体" w:cs="宋体"/>
                <w:kern w:val="0"/>
                <w:szCs w:val="21"/>
              </w:rPr>
            </w:pPr>
            <w:r>
              <w:rPr>
                <w:rFonts w:ascii="宋体" w:hAnsi="宋体" w:cs="宋体"/>
                <w:kern w:val="0"/>
                <w:szCs w:val="21"/>
              </w:rPr>
              <w:t>6</w:t>
            </w:r>
            <w:r>
              <w:rPr>
                <w:rFonts w:hint="eastAsia" w:ascii="宋体" w:hAnsi="宋体" w:cs="宋体"/>
                <w:kern w:val="0"/>
                <w:szCs w:val="21"/>
              </w:rPr>
              <w:t>、竞价</w:t>
            </w:r>
            <w:r>
              <w:rPr>
                <w:rFonts w:ascii="宋体" w:hAnsi="宋体" w:cs="宋体"/>
                <w:kern w:val="0"/>
                <w:szCs w:val="21"/>
              </w:rPr>
              <w:t>人</w:t>
            </w:r>
            <w:r>
              <w:rPr>
                <w:rFonts w:hint="eastAsia" w:ascii="宋体" w:hAnsi="宋体" w:cs="宋体"/>
                <w:kern w:val="0"/>
                <w:szCs w:val="21"/>
              </w:rPr>
              <w:t>及其控、参股公司、分（子）公司等关联公司或实际控制人与深圳市大铲湾港口投资发展有限公司及其下属公司等关联公司之间无任何形式的法律诉讼或其他纠纷（以招租人</w:t>
            </w:r>
            <w:r>
              <w:rPr>
                <w:rFonts w:ascii="宋体" w:hAnsi="宋体" w:cs="宋体"/>
                <w:kern w:val="0"/>
                <w:szCs w:val="21"/>
              </w:rPr>
              <w:t>审核为准</w:t>
            </w:r>
            <w:r>
              <w:rPr>
                <w:rFonts w:hint="eastAsia" w:ascii="宋体" w:hAnsi="宋体" w:cs="宋体"/>
                <w:kern w:val="0"/>
                <w:szCs w:val="21"/>
              </w:rPr>
              <w:t>）。</w:t>
            </w:r>
          </w:p>
          <w:p>
            <w:pPr>
              <w:wordWrap w:val="0"/>
              <w:autoSpaceDE w:val="0"/>
              <w:autoSpaceDN w:val="0"/>
              <w:adjustRightInd w:val="0"/>
              <w:snapToGrid w:val="0"/>
              <w:spacing w:line="360" w:lineRule="auto"/>
              <w:jc w:val="left"/>
              <w:rPr>
                <w:rFonts w:ascii="宋体" w:hAnsi="宋体" w:cs="宋体"/>
                <w:kern w:val="0"/>
                <w:szCs w:val="21"/>
              </w:rPr>
            </w:pPr>
            <w:r>
              <w:rPr>
                <w:rFonts w:hint="eastAsia" w:ascii="宋体" w:hAnsi="宋体" w:cs="宋体"/>
                <w:kern w:val="0"/>
                <w:szCs w:val="21"/>
              </w:rPr>
              <w:t>7、承租方承诺遵守国家法律、法规、近三年内没有违法经营记录、无较大安全责任事故。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538" w:type="dxa"/>
            <w:vMerge w:val="continue"/>
            <w:shd w:val="clear" w:color="auto" w:fill="DBE5F1"/>
          </w:tcPr>
          <w:p>
            <w:pPr>
              <w:wordWrap w:val="0"/>
              <w:autoSpaceDE w:val="0"/>
              <w:autoSpaceDN w:val="0"/>
              <w:adjustRightInd w:val="0"/>
              <w:snapToGrid w:val="0"/>
              <w:spacing w:line="360" w:lineRule="auto"/>
              <w:jc w:val="center"/>
              <w:textAlignment w:val="center"/>
              <w:rPr>
                <w:rFonts w:ascii="宋体" w:hAnsi="宋体" w:cs="宋体"/>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需提供的证明材料</w:t>
            </w:r>
          </w:p>
        </w:tc>
        <w:tc>
          <w:tcPr>
            <w:tcW w:w="5568" w:type="dxa"/>
            <w:vAlign w:val="center"/>
          </w:tcPr>
          <w:p>
            <w:pPr>
              <w:autoSpaceDE w:val="0"/>
              <w:autoSpaceDN w:val="0"/>
              <w:adjustRightInd w:val="0"/>
              <w:snapToGrid w:val="0"/>
              <w:spacing w:line="360" w:lineRule="auto"/>
              <w:jc w:val="left"/>
              <w:textAlignment w:val="center"/>
              <w:rPr>
                <w:rFonts w:ascii="宋体" w:hAnsi="宋体" w:cs="宋体"/>
                <w:b/>
                <w:kern w:val="0"/>
                <w:szCs w:val="21"/>
              </w:rPr>
            </w:pPr>
            <w:r>
              <w:rPr>
                <w:rFonts w:hint="eastAsia" w:ascii="宋体" w:hAnsi="宋体" w:cs="宋体"/>
                <w:b/>
                <w:kern w:val="0"/>
                <w:szCs w:val="21"/>
              </w:rPr>
              <w:t>需提供的证明材料（均加盖公章原件备查）：</w:t>
            </w:r>
          </w:p>
          <w:p>
            <w:pPr>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1、营业执照或</w:t>
            </w:r>
            <w:r>
              <w:rPr>
                <w:rFonts w:ascii="宋体" w:hAnsi="宋体" w:cs="宋体"/>
                <w:kern w:val="0"/>
                <w:szCs w:val="21"/>
              </w:rPr>
              <w:t>相关主体证明复印件</w:t>
            </w:r>
            <w:r>
              <w:rPr>
                <w:rFonts w:hint="eastAsia" w:ascii="宋体" w:hAnsi="宋体" w:cs="宋体"/>
                <w:kern w:val="0"/>
                <w:szCs w:val="21"/>
              </w:rPr>
              <w:t>；</w:t>
            </w:r>
          </w:p>
          <w:p>
            <w:pPr>
              <w:autoSpaceDE w:val="0"/>
              <w:autoSpaceDN w:val="0"/>
              <w:adjustRightInd w:val="0"/>
              <w:snapToGrid w:val="0"/>
              <w:spacing w:line="360" w:lineRule="auto"/>
              <w:jc w:val="left"/>
              <w:textAlignment w:val="center"/>
              <w:rPr>
                <w:rFonts w:ascii="宋体" w:hAnsi="宋体" w:cs="宋体"/>
                <w:kern w:val="0"/>
                <w:szCs w:val="21"/>
              </w:rPr>
            </w:pPr>
            <w:r>
              <w:rPr>
                <w:rFonts w:ascii="宋体" w:hAnsi="宋体" w:cs="宋体"/>
                <w:kern w:val="0"/>
                <w:szCs w:val="21"/>
              </w:rPr>
              <w:t>2</w:t>
            </w:r>
            <w:r>
              <w:rPr>
                <w:rFonts w:hint="eastAsia" w:ascii="宋体" w:hAnsi="宋体" w:cs="宋体"/>
                <w:kern w:val="0"/>
                <w:szCs w:val="21"/>
              </w:rPr>
              <w:t>、</w:t>
            </w:r>
            <w:r>
              <w:rPr>
                <w:rFonts w:ascii="宋体" w:hAnsi="宋体" w:cs="宋体"/>
                <w:kern w:val="0"/>
                <w:szCs w:val="21"/>
              </w:rPr>
              <w:t>验资证明等</w:t>
            </w:r>
            <w:r>
              <w:rPr>
                <w:rFonts w:hint="eastAsia" w:ascii="宋体" w:hAnsi="宋体" w:cs="宋体"/>
                <w:kern w:val="0"/>
                <w:szCs w:val="21"/>
              </w:rPr>
              <w:t>能证明实缴注册资本的相关</w:t>
            </w:r>
            <w:r>
              <w:rPr>
                <w:rFonts w:ascii="宋体" w:hAnsi="宋体" w:cs="宋体"/>
                <w:kern w:val="0"/>
                <w:szCs w:val="21"/>
              </w:rPr>
              <w:t>证明</w:t>
            </w:r>
            <w:r>
              <w:rPr>
                <w:rFonts w:hint="eastAsia" w:ascii="宋体" w:hAnsi="宋体" w:cs="宋体"/>
                <w:kern w:val="0"/>
                <w:szCs w:val="21"/>
              </w:rPr>
              <w:t>材料；</w:t>
            </w:r>
            <w:r>
              <w:rPr>
                <w:rFonts w:ascii="宋体" w:hAnsi="宋体" w:cs="宋体"/>
                <w:kern w:val="0"/>
                <w:szCs w:val="21"/>
              </w:rPr>
              <w:t xml:space="preserve"> </w:t>
            </w:r>
          </w:p>
          <w:p>
            <w:pPr>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3、竞价人应具备的资格条件第3点</w:t>
            </w:r>
            <w:r>
              <w:rPr>
                <w:rFonts w:ascii="宋体" w:hAnsi="宋体" w:cs="宋体"/>
                <w:kern w:val="0"/>
                <w:szCs w:val="21"/>
              </w:rPr>
              <w:t>要求的证明材料；</w:t>
            </w:r>
          </w:p>
          <w:p>
            <w:pPr>
              <w:autoSpaceDE w:val="0"/>
              <w:autoSpaceDN w:val="0"/>
              <w:adjustRightInd w:val="0"/>
              <w:snapToGrid w:val="0"/>
              <w:spacing w:line="360" w:lineRule="auto"/>
              <w:jc w:val="left"/>
              <w:textAlignment w:val="center"/>
              <w:rPr>
                <w:rFonts w:ascii="宋体" w:hAnsi="宋体" w:cs="宋体"/>
                <w:kern w:val="0"/>
                <w:szCs w:val="21"/>
              </w:rPr>
            </w:pPr>
            <w:r>
              <w:rPr>
                <w:rFonts w:ascii="宋体" w:hAnsi="宋体" w:cs="宋体"/>
                <w:kern w:val="0"/>
                <w:szCs w:val="21"/>
              </w:rPr>
              <w:t>4</w:t>
            </w:r>
            <w:r>
              <w:rPr>
                <w:rFonts w:hint="eastAsia" w:ascii="宋体" w:hAnsi="宋体" w:cs="宋体"/>
                <w:kern w:val="0"/>
                <w:szCs w:val="21"/>
              </w:rPr>
              <w:t>、竞价人应具备的资格条件第</w:t>
            </w:r>
            <w:r>
              <w:rPr>
                <w:rFonts w:ascii="宋体" w:hAnsi="宋体" w:cs="宋体"/>
                <w:kern w:val="0"/>
                <w:szCs w:val="21"/>
              </w:rPr>
              <w:t>4-5</w:t>
            </w:r>
            <w:r>
              <w:rPr>
                <w:rFonts w:hint="eastAsia" w:ascii="宋体" w:hAnsi="宋体" w:cs="宋体"/>
                <w:kern w:val="0"/>
                <w:szCs w:val="21"/>
              </w:rPr>
              <w:t>点要求的证明材料。</w:t>
            </w:r>
          </w:p>
          <w:p>
            <w:pPr>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5、竞价人应提供资格条件第7点的承诺。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38" w:type="dxa"/>
            <w:vMerge w:val="continue"/>
            <w:shd w:val="clear" w:color="auto" w:fill="DBE5F1"/>
          </w:tcPr>
          <w:p>
            <w:pPr>
              <w:wordWrap w:val="0"/>
              <w:autoSpaceDE w:val="0"/>
              <w:autoSpaceDN w:val="0"/>
              <w:adjustRightInd w:val="0"/>
              <w:snapToGrid w:val="0"/>
              <w:spacing w:line="360" w:lineRule="auto"/>
              <w:jc w:val="center"/>
              <w:textAlignment w:val="center"/>
              <w:rPr>
                <w:rFonts w:ascii="宋体" w:hAnsi="宋体" w:cs="宋体"/>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是否允许联合体竞价</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538" w:type="dxa"/>
            <w:vMerge w:val="continue"/>
            <w:shd w:val="clear" w:color="auto" w:fill="DBE5F1"/>
          </w:tcPr>
          <w:p>
            <w:pPr>
              <w:wordWrap w:val="0"/>
              <w:autoSpaceDE w:val="0"/>
              <w:autoSpaceDN w:val="0"/>
              <w:adjustRightInd w:val="0"/>
              <w:snapToGrid w:val="0"/>
              <w:spacing w:line="360" w:lineRule="auto"/>
              <w:jc w:val="center"/>
              <w:textAlignment w:val="center"/>
              <w:rPr>
                <w:rFonts w:ascii="宋体" w:hAnsi="宋体" w:cs="宋体"/>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是否允许转租、分租</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1" w:type="dxa"/>
            <w:gridSpan w:val="2"/>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招租方式</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电子竞价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538" w:type="dxa"/>
            <w:vMerge w:val="restart"/>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竞价人</w:t>
            </w:r>
          </w:p>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报名须知</w:t>
            </w: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报名截止时间</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公告截止日17:00前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continue"/>
            <w:shd w:val="clear" w:color="auto" w:fill="DBE5F1"/>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p>
        </w:tc>
        <w:tc>
          <w:tcPr>
            <w:tcW w:w="2573" w:type="dxa"/>
            <w:vMerge w:val="restart"/>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报名方式</w:t>
            </w:r>
          </w:p>
        </w:tc>
        <w:tc>
          <w:tcPr>
            <w:tcW w:w="5568" w:type="dxa"/>
            <w:vAlign w:val="center"/>
          </w:tcPr>
          <w:p>
            <w:pPr>
              <w:wordWrap w:val="0"/>
              <w:autoSpaceDE w:val="0"/>
              <w:autoSpaceDN w:val="0"/>
              <w:adjustRightInd w:val="0"/>
              <w:snapToGrid w:val="0"/>
              <w:spacing w:line="360" w:lineRule="auto"/>
              <w:textAlignment w:val="center"/>
              <w:rPr>
                <w:rFonts w:ascii="宋体" w:hAnsi="宋体" w:cs="宋体"/>
                <w:b/>
                <w:szCs w:val="21"/>
              </w:rPr>
            </w:pPr>
            <w:r>
              <w:rPr>
                <w:rFonts w:hint="eastAsia" w:ascii="宋体" w:hAnsi="宋体" w:cs="宋体"/>
                <w:b/>
                <w:szCs w:val="21"/>
              </w:rPr>
              <w:t>一、网上注册：</w:t>
            </w:r>
          </w:p>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szCs w:val="21"/>
              </w:rPr>
              <w:t>竞价人报名前需登录https://trade.szggzy.com/ggzy/center/#/login注册成会员（如已是正式会员请忽略）。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continue"/>
            <w:shd w:val="clear" w:color="auto" w:fill="DBE5F1"/>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p>
        </w:tc>
        <w:tc>
          <w:tcPr>
            <w:tcW w:w="2573" w:type="dxa"/>
            <w:vMerge w:val="continue"/>
            <w:shd w:val="clear" w:color="auto" w:fill="DBE5F1"/>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p>
        </w:tc>
        <w:tc>
          <w:tcPr>
            <w:tcW w:w="5568" w:type="dxa"/>
            <w:vAlign w:val="center"/>
          </w:tcPr>
          <w:p>
            <w:pPr>
              <w:wordWrap w:val="0"/>
              <w:autoSpaceDE w:val="0"/>
              <w:autoSpaceDN w:val="0"/>
              <w:adjustRightInd w:val="0"/>
              <w:snapToGrid w:val="0"/>
              <w:spacing w:line="360" w:lineRule="auto"/>
              <w:textAlignment w:val="center"/>
              <w:rPr>
                <w:rFonts w:ascii="宋体" w:hAnsi="宋体" w:cs="宋体"/>
                <w:b/>
                <w:bCs/>
                <w:szCs w:val="21"/>
              </w:rPr>
            </w:pPr>
            <w:r>
              <w:rPr>
                <w:rFonts w:hint="eastAsia" w:ascii="宋体" w:hAnsi="宋体" w:cs="宋体"/>
                <w:b/>
                <w:bCs/>
                <w:szCs w:val="21"/>
              </w:rPr>
              <w:t>二、项目报名</w:t>
            </w:r>
          </w:p>
          <w:p>
            <w:pPr>
              <w:wordWrap w:val="0"/>
              <w:autoSpaceDE w:val="0"/>
              <w:autoSpaceDN w:val="0"/>
              <w:adjustRightInd w:val="0"/>
              <w:snapToGrid w:val="0"/>
              <w:spacing w:line="360" w:lineRule="auto"/>
              <w:textAlignment w:val="center"/>
              <w:rPr>
                <w:rFonts w:ascii="宋体" w:hAnsi="宋体" w:cs="宋体"/>
                <w:szCs w:val="21"/>
              </w:rPr>
            </w:pPr>
            <w:r>
              <w:rPr>
                <w:rFonts w:hint="eastAsia" w:ascii="宋体" w:hAnsi="宋体" w:cs="宋体"/>
                <w:b/>
                <w:bCs/>
                <w:szCs w:val="21"/>
              </w:rPr>
              <w:t>1、网上报名</w:t>
            </w:r>
          </w:p>
          <w:p>
            <w:pPr>
              <w:wordWrap w:val="0"/>
              <w:autoSpaceDE w:val="0"/>
              <w:autoSpaceDN w:val="0"/>
              <w:adjustRightInd w:val="0"/>
              <w:snapToGrid w:val="0"/>
              <w:spacing w:line="360" w:lineRule="auto"/>
              <w:textAlignment w:val="center"/>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）填写</w:t>
            </w:r>
            <w:r>
              <w:rPr>
                <w:rFonts w:ascii="宋体" w:hAnsi="宋体" w:cs="宋体"/>
                <w:color w:val="000000"/>
                <w:kern w:val="0"/>
                <w:szCs w:val="21"/>
              </w:rPr>
              <w:t>报名申请表（</w:t>
            </w:r>
            <w:r>
              <w:rPr>
                <w:rFonts w:hint="eastAsia" w:ascii="宋体" w:hAnsi="宋体" w:cs="宋体"/>
                <w:color w:val="000000"/>
                <w:kern w:val="0"/>
                <w:szCs w:val="21"/>
              </w:rPr>
              <w:t>申请表</w:t>
            </w:r>
            <w:r>
              <w:rPr>
                <w:rFonts w:ascii="宋体" w:hAnsi="宋体" w:cs="宋体"/>
                <w:color w:val="000000"/>
                <w:kern w:val="0"/>
                <w:szCs w:val="21"/>
              </w:rPr>
              <w:t>链接：http://nhbgpcwmb2g2bwpn.mikecrm.com/KXFQsHH）</w:t>
            </w:r>
            <w:r>
              <w:rPr>
                <w:rFonts w:hint="eastAsia" w:ascii="宋体" w:hAnsi="宋体" w:cs="宋体"/>
                <w:color w:val="000000"/>
                <w:kern w:val="0"/>
                <w:szCs w:val="21"/>
              </w:rPr>
              <w:t>；</w:t>
            </w:r>
          </w:p>
          <w:p>
            <w:pPr>
              <w:wordWrap w:val="0"/>
              <w:autoSpaceDE w:val="0"/>
              <w:autoSpaceDN w:val="0"/>
              <w:adjustRightInd w:val="0"/>
              <w:snapToGrid w:val="0"/>
              <w:spacing w:line="360" w:lineRule="auto"/>
              <w:textAlignment w:val="center"/>
              <w:rPr>
                <w:rFonts w:ascii="宋体" w:hAnsi="宋体" w:cs="宋体"/>
                <w:kern w:val="0"/>
                <w:szCs w:val="21"/>
              </w:rPr>
            </w:pPr>
            <w:r>
              <w:rPr>
                <w:rFonts w:hint="eastAsia" w:ascii="宋体" w:hAnsi="宋体" w:cs="宋体"/>
                <w:szCs w:val="21"/>
              </w:rPr>
              <w:t>2）待工作人员核实后发出招租文件。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538" w:type="dxa"/>
            <w:vMerge w:val="restart"/>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资格审查</w:t>
            </w:r>
          </w:p>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须知</w:t>
            </w: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资格审查截止时间</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公告截止日17:00前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continue"/>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资格审查文件递交地点</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szCs w:val="21"/>
              </w:rPr>
            </w:pPr>
            <w:r>
              <w:rPr>
                <w:rFonts w:hint="eastAsia" w:ascii="宋体" w:hAnsi="宋体" w:cs="宋体"/>
                <w:szCs w:val="21"/>
              </w:rPr>
              <w:t>递交网址:</w:t>
            </w:r>
            <w:r>
              <w:t xml:space="preserve"> </w:t>
            </w:r>
            <w:r>
              <w:rPr>
                <w:rFonts w:ascii="宋体" w:hAnsi="宋体" w:cs="宋体"/>
                <w:szCs w:val="21"/>
              </w:rPr>
              <w:t>https://rent.szexgrp.com/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continue"/>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竞价人应具备的</w:t>
            </w:r>
          </w:p>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资格条件</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bCs/>
                <w:kern w:val="0"/>
                <w:szCs w:val="21"/>
              </w:rPr>
            </w:pPr>
            <w:r>
              <w:rPr>
                <w:rFonts w:hint="eastAsia" w:ascii="宋体" w:hAnsi="宋体" w:cs="宋体"/>
                <w:kern w:val="0"/>
                <w:szCs w:val="21"/>
              </w:rPr>
              <w:t>详见</w:t>
            </w:r>
            <w:r>
              <w:rPr>
                <w:rFonts w:hint="eastAsia" w:ascii="宋体" w:hAnsi="宋体" w:cs="宋体"/>
                <w:bCs/>
                <w:kern w:val="0"/>
                <w:szCs w:val="21"/>
              </w:rPr>
              <w:t>招租公告/</w:t>
            </w:r>
            <w:r>
              <w:rPr>
                <w:rFonts w:hint="eastAsia" w:ascii="宋体" w:hAnsi="宋体" w:cs="宋体"/>
                <w:kern w:val="0"/>
                <w:szCs w:val="21"/>
              </w:rPr>
              <w:t>竞价人资格要求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continue"/>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竞价人需提交的</w:t>
            </w:r>
          </w:p>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资格审查材料</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格式详见招租文件第五章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38" w:type="dxa"/>
            <w:vMerge w:val="continue"/>
            <w:tcBorders>
              <w:bottom w:val="single" w:color="auto" w:sz="4" w:space="0"/>
            </w:tcBorders>
            <w:shd w:val="clear" w:color="auto" w:fill="auto"/>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竞价文件有效期</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120天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38" w:type="dxa"/>
            <w:vMerge w:val="restart"/>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竞价保证金</w:t>
            </w: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szCs w:val="21"/>
              </w:rPr>
            </w:pPr>
            <w:r>
              <w:rPr>
                <w:rFonts w:hint="eastAsia" w:ascii="宋体" w:hAnsi="宋体" w:cs="宋体"/>
                <w:kern w:val="0"/>
                <w:szCs w:val="21"/>
              </w:rPr>
              <w:t>缴纳截止时间</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公告截止日17:00前（以到账时间为准）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38" w:type="dxa"/>
            <w:vMerge w:val="continue"/>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szCs w:val="21"/>
              </w:rPr>
              <w:t>金额（人民币 元）</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highlight w:val="none"/>
              </w:rPr>
              <w:t>人民币</w:t>
            </w:r>
            <w:r>
              <w:rPr>
                <w:rFonts w:hint="eastAsia" w:ascii="宋体" w:hAnsi="宋体" w:cs="宋体"/>
                <w:kern w:val="0"/>
                <w:szCs w:val="21"/>
                <w:highlight w:val="none"/>
                <w:lang w:val="en-US" w:eastAsia="zh-CN"/>
              </w:rPr>
              <w:t>7604633.34</w:t>
            </w:r>
            <w:r>
              <w:rPr>
                <w:rFonts w:hint="eastAsia" w:ascii="宋体" w:hAnsi="宋体" w:cs="宋体"/>
                <w:kern w:val="0"/>
                <w:szCs w:val="21"/>
                <w:highlight w:val="none"/>
              </w:rPr>
              <w:t>万元（</w:t>
            </w:r>
            <w:r>
              <w:rPr>
                <w:rFonts w:hint="eastAsia" w:ascii="宋体" w:hAnsi="宋体" w:cs="宋体"/>
                <w:kern w:val="0"/>
                <w:szCs w:val="21"/>
              </w:rPr>
              <w:t>中选单位的</w:t>
            </w:r>
            <w:r>
              <w:rPr>
                <w:rFonts w:ascii="宋体" w:hAnsi="宋体" w:cs="宋体"/>
                <w:kern w:val="0"/>
                <w:szCs w:val="21"/>
              </w:rPr>
              <w:t>竞价保证金</w:t>
            </w:r>
            <w:r>
              <w:rPr>
                <w:rFonts w:hint="eastAsia" w:ascii="宋体" w:hAnsi="宋体" w:cs="宋体"/>
                <w:kern w:val="0"/>
                <w:szCs w:val="21"/>
              </w:rPr>
              <w:t>转为租赁保证金，未中选单位</w:t>
            </w:r>
            <w:r>
              <w:rPr>
                <w:rFonts w:ascii="宋体" w:hAnsi="宋体" w:cs="宋体"/>
                <w:kern w:val="0"/>
                <w:szCs w:val="21"/>
              </w:rPr>
              <w:t>的竞价保证金</w:t>
            </w:r>
            <w:r>
              <w:rPr>
                <w:rFonts w:hint="eastAsia" w:ascii="宋体" w:hAnsi="宋体" w:cs="宋体"/>
                <w:kern w:val="0"/>
                <w:szCs w:val="21"/>
              </w:rPr>
              <w:t>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38" w:type="dxa"/>
            <w:vMerge w:val="continue"/>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缴纳信息</w:t>
            </w:r>
          </w:p>
        </w:tc>
        <w:tc>
          <w:tcPr>
            <w:tcW w:w="5568" w:type="dxa"/>
            <w:vAlign w:val="center"/>
          </w:tcPr>
          <w:p>
            <w:pPr>
              <w:wordWrap w:val="0"/>
              <w:autoSpaceDE w:val="0"/>
              <w:autoSpaceDN w:val="0"/>
              <w:adjustRightInd w:val="0"/>
              <w:snapToGrid w:val="0"/>
              <w:spacing w:line="360" w:lineRule="auto"/>
              <w:textAlignment w:val="center"/>
              <w:rPr>
                <w:rFonts w:ascii="宋体" w:hAnsi="宋体"/>
                <w:szCs w:val="21"/>
              </w:rPr>
            </w:pPr>
            <w:r>
              <w:rPr>
                <w:rFonts w:ascii="宋体" w:hAnsi="宋体"/>
                <w:szCs w:val="21"/>
              </w:rPr>
              <w:t>1</w:t>
            </w:r>
            <w:r>
              <w:rPr>
                <w:rFonts w:hint="eastAsia" w:ascii="宋体" w:hAnsi="宋体"/>
                <w:szCs w:val="21"/>
              </w:rPr>
              <w:t>、请竞价人登录后选择</w:t>
            </w:r>
            <w:r>
              <w:rPr>
                <w:rFonts w:ascii="宋体" w:hAnsi="宋体"/>
                <w:szCs w:val="21"/>
              </w:rPr>
              <w:t>“</w:t>
            </w:r>
            <w:r>
              <w:rPr>
                <w:rFonts w:hint="eastAsia" w:ascii="宋体" w:hAnsi="宋体"/>
                <w:szCs w:val="21"/>
              </w:rPr>
              <w:t>阳光</w:t>
            </w:r>
            <w:r>
              <w:rPr>
                <w:rFonts w:ascii="宋体" w:hAnsi="宋体"/>
                <w:szCs w:val="21"/>
              </w:rPr>
              <w:t>租赁平台”/</w:t>
            </w:r>
            <w:r>
              <w:rPr>
                <w:rFonts w:hint="eastAsia" w:ascii="宋体" w:hAnsi="宋体"/>
                <w:szCs w:val="21"/>
              </w:rPr>
              <w:t>点击</w:t>
            </w:r>
            <w:r>
              <w:rPr>
                <w:rFonts w:ascii="宋体" w:hAnsi="宋体"/>
                <w:szCs w:val="21"/>
              </w:rPr>
              <w:t>上方“</w:t>
            </w:r>
            <w:r>
              <w:rPr>
                <w:rFonts w:hint="eastAsia" w:ascii="宋体" w:hAnsi="宋体"/>
                <w:szCs w:val="21"/>
              </w:rPr>
              <w:t>租赁</w:t>
            </w:r>
            <w:r>
              <w:rPr>
                <w:rFonts w:ascii="宋体" w:hAnsi="宋体"/>
                <w:szCs w:val="21"/>
              </w:rPr>
              <w:t>交易</w:t>
            </w:r>
            <w:r>
              <w:rPr>
                <w:rFonts w:hint="eastAsia" w:ascii="宋体" w:hAnsi="宋体"/>
                <w:szCs w:val="21"/>
              </w:rPr>
              <w:t>”/点击</w:t>
            </w:r>
            <w:r>
              <w:rPr>
                <w:rFonts w:ascii="宋体" w:hAnsi="宋体"/>
                <w:szCs w:val="21"/>
              </w:rPr>
              <w:t>左侧“</w:t>
            </w:r>
            <w:r>
              <w:rPr>
                <w:rFonts w:hint="eastAsia" w:ascii="宋体" w:hAnsi="宋体"/>
                <w:szCs w:val="21"/>
              </w:rPr>
              <w:t>我参与</w:t>
            </w:r>
            <w:r>
              <w:rPr>
                <w:rFonts w:ascii="宋体" w:hAnsi="宋体"/>
                <w:szCs w:val="21"/>
              </w:rPr>
              <w:t>的项目</w:t>
            </w:r>
            <w:r>
              <w:rPr>
                <w:rFonts w:hint="eastAsia" w:ascii="宋体" w:hAnsi="宋体"/>
                <w:szCs w:val="21"/>
              </w:rPr>
              <w:t>”/进入需要</w:t>
            </w:r>
            <w:r>
              <w:rPr>
                <w:rFonts w:ascii="宋体" w:hAnsi="宋体"/>
                <w:szCs w:val="21"/>
              </w:rPr>
              <w:t>报名的项目</w:t>
            </w:r>
            <w:r>
              <w:rPr>
                <w:rFonts w:hint="eastAsia" w:ascii="宋体" w:hAnsi="宋体"/>
                <w:szCs w:val="21"/>
              </w:rPr>
              <w:t>/点击</w:t>
            </w:r>
            <w:r>
              <w:rPr>
                <w:rFonts w:ascii="宋体" w:hAnsi="宋体"/>
                <w:szCs w:val="21"/>
              </w:rPr>
              <w:t>“</w:t>
            </w:r>
            <w:r>
              <w:rPr>
                <w:rFonts w:hint="eastAsia" w:ascii="宋体" w:hAnsi="宋体"/>
                <w:szCs w:val="21"/>
              </w:rPr>
              <w:t>缴纳保证金</w:t>
            </w:r>
            <w:r>
              <w:rPr>
                <w:rFonts w:ascii="宋体" w:hAnsi="宋体"/>
                <w:szCs w:val="21"/>
              </w:rPr>
              <w:t>”/</w:t>
            </w:r>
            <w:r>
              <w:rPr>
                <w:rFonts w:hint="eastAsia" w:ascii="宋体" w:hAnsi="宋体"/>
                <w:szCs w:val="21"/>
              </w:rPr>
              <w:t>选择账户</w:t>
            </w:r>
            <w:r>
              <w:rPr>
                <w:rFonts w:ascii="宋体" w:hAnsi="宋体"/>
                <w:szCs w:val="21"/>
              </w:rPr>
              <w:t>后，</w:t>
            </w:r>
            <w:r>
              <w:rPr>
                <w:rFonts w:hint="eastAsia" w:ascii="宋体" w:hAnsi="宋体"/>
                <w:szCs w:val="21"/>
              </w:rPr>
              <w:t>点击</w:t>
            </w:r>
            <w:r>
              <w:rPr>
                <w:rFonts w:ascii="宋体" w:hAnsi="宋体"/>
                <w:szCs w:val="21"/>
              </w:rPr>
              <w:t>“</w:t>
            </w:r>
            <w:r>
              <w:rPr>
                <w:rFonts w:hint="eastAsia" w:ascii="宋体" w:hAnsi="宋体"/>
                <w:szCs w:val="21"/>
              </w:rPr>
              <w:t>缴纳</w:t>
            </w:r>
            <w:r>
              <w:rPr>
                <w:rFonts w:ascii="宋体" w:hAnsi="宋体"/>
                <w:szCs w:val="21"/>
              </w:rPr>
              <w:t>”</w:t>
            </w:r>
            <w:r>
              <w:rPr>
                <w:rFonts w:hint="eastAsia" w:ascii="宋体" w:hAnsi="宋体"/>
                <w:szCs w:val="21"/>
              </w:rPr>
              <w:t>，</w:t>
            </w:r>
            <w:r>
              <w:rPr>
                <w:rFonts w:ascii="宋体" w:hAnsi="宋体"/>
                <w:szCs w:val="21"/>
              </w:rPr>
              <w:t>系统</w:t>
            </w:r>
            <w:r>
              <w:rPr>
                <w:rFonts w:hint="eastAsia" w:ascii="宋体" w:hAnsi="宋体"/>
                <w:szCs w:val="21"/>
              </w:rPr>
              <w:t>将</w:t>
            </w:r>
            <w:r>
              <w:rPr>
                <w:rFonts w:ascii="宋体" w:hAnsi="宋体"/>
                <w:szCs w:val="21"/>
              </w:rPr>
              <w:t>生成对应的</w:t>
            </w:r>
            <w:r>
              <w:rPr>
                <w:rFonts w:hint="eastAsia" w:ascii="宋体" w:hAnsi="宋体"/>
                <w:szCs w:val="21"/>
              </w:rPr>
              <w:t>收款</w:t>
            </w:r>
            <w:r>
              <w:rPr>
                <w:rFonts w:ascii="宋体" w:hAnsi="宋体"/>
                <w:szCs w:val="21"/>
              </w:rPr>
              <w:t>账户及交易附言</w:t>
            </w:r>
            <w:r>
              <w:rPr>
                <w:rFonts w:hint="eastAsia" w:ascii="宋体" w:hAnsi="宋体"/>
                <w:szCs w:val="21"/>
              </w:rPr>
              <w:t>）；</w:t>
            </w:r>
          </w:p>
          <w:p>
            <w:pPr>
              <w:wordWrap w:val="0"/>
              <w:autoSpaceDE w:val="0"/>
              <w:autoSpaceDN w:val="0"/>
              <w:adjustRightInd w:val="0"/>
              <w:snapToGrid w:val="0"/>
              <w:spacing w:line="360" w:lineRule="auto"/>
              <w:jc w:val="left"/>
              <w:textAlignment w:val="center"/>
              <w:rPr>
                <w:rFonts w:ascii="宋体" w:hAnsi="宋体"/>
                <w:szCs w:val="21"/>
              </w:rPr>
            </w:pPr>
            <w:r>
              <w:rPr>
                <w:rFonts w:ascii="宋体" w:hAnsi="宋体"/>
                <w:szCs w:val="21"/>
              </w:rPr>
              <w:t>2</w:t>
            </w:r>
            <w:r>
              <w:rPr>
                <w:rFonts w:hint="eastAsia" w:ascii="宋体" w:hAnsi="宋体"/>
                <w:szCs w:val="21"/>
              </w:rPr>
              <w:t>、如因不标注或标注错误而导致招租文件费未交、保证金的错投、漏投的情况，相关责任由竞价人自行承担。</w:t>
            </w:r>
          </w:p>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hAnsi="宋体"/>
                <w:szCs w:val="21"/>
              </w:rPr>
              <w:t>3、竞价保证金将退款至竞价人对公账户。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538" w:type="dxa"/>
            <w:vMerge w:val="restart"/>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竞价须知</w:t>
            </w: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竞价开始时间</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详见《竞价邀请书》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8" w:type="dxa"/>
            <w:vMerge w:val="continue"/>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竞价开始地点</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详见《竞价邀请书》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continue"/>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参与竞价的条件</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1、购买招租文件，通过报名资格审查，于规定的时间前缴纳竞价保证金；</w:t>
            </w:r>
          </w:p>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2、收到交易机构发出的《竞价邀请书》；</w:t>
            </w:r>
          </w:p>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3、准时履行签到程序，参加现场公开竞价（以现场签到时间为准）；</w:t>
            </w:r>
          </w:p>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4、授权代表现场签署《公开竞价承诺书》。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continue"/>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参与现场竞价须携带资料</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随身携带被授权人身份证原件（竞价者如更换授权人，到场则需另行提供《法定代表人授权书》）。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538" w:type="dxa"/>
            <w:vMerge w:val="continue"/>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竞价增幅</w:t>
            </w:r>
          </w:p>
        </w:tc>
        <w:tc>
          <w:tcPr>
            <w:tcW w:w="5568" w:type="dxa"/>
            <w:vAlign w:val="center"/>
          </w:tcPr>
          <w:p>
            <w:pPr>
              <w:wordWrap w:val="0"/>
              <w:autoSpaceDE w:val="0"/>
              <w:autoSpaceDN w:val="0"/>
              <w:adjustRightInd w:val="0"/>
              <w:snapToGrid w:val="0"/>
              <w:spacing w:line="360" w:lineRule="auto"/>
              <w:textAlignment w:val="center"/>
              <w:rPr>
                <w:rFonts w:ascii="宋体" w:hAnsi="宋体" w:cs="宋体"/>
                <w:kern w:val="0"/>
                <w:szCs w:val="21"/>
              </w:rPr>
            </w:pPr>
            <w:r>
              <w:rPr>
                <w:rFonts w:hint="eastAsia" w:ascii="宋体" w:hAnsi="宋体" w:cs="宋体"/>
                <w:kern w:val="0"/>
                <w:szCs w:val="21"/>
              </w:rPr>
              <w:t>报价增幅为人民币</w:t>
            </w:r>
            <w:r>
              <w:rPr>
                <w:rFonts w:ascii="宋体" w:hAnsi="宋体" w:cs="宋体"/>
                <w:kern w:val="0"/>
                <w:szCs w:val="21"/>
              </w:rPr>
              <w:t>0.5</w:t>
            </w:r>
            <w:r>
              <w:rPr>
                <w:rFonts w:hint="eastAsia" w:ascii="宋体" w:hAnsi="宋体" w:cs="宋体"/>
                <w:kern w:val="0"/>
                <w:szCs w:val="21"/>
              </w:rPr>
              <w:t>元的整数倍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538" w:type="dxa"/>
            <w:vMerge w:val="restart"/>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交易机构</w:t>
            </w:r>
          </w:p>
          <w:p>
            <w:pPr>
              <w:wordWrap w:val="0"/>
              <w:autoSpaceDE w:val="0"/>
              <w:autoSpaceDN w:val="0"/>
              <w:adjustRightInd w:val="0"/>
              <w:snapToGrid w:val="0"/>
              <w:spacing w:line="360" w:lineRule="auto"/>
              <w:jc w:val="center"/>
              <w:textAlignment w:val="center"/>
              <w:rPr>
                <w:rFonts w:ascii="宋体" w:hAnsi="宋体" w:cs="宋体"/>
                <w:szCs w:val="21"/>
              </w:rPr>
            </w:pPr>
            <w:r>
              <w:rPr>
                <w:rFonts w:hint="eastAsia" w:ascii="宋体" w:hAnsi="宋体" w:cs="宋体"/>
                <w:kern w:val="0"/>
                <w:szCs w:val="21"/>
              </w:rPr>
              <w:t>信息</w:t>
            </w: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交易机构名称</w:t>
            </w:r>
          </w:p>
        </w:tc>
        <w:tc>
          <w:tcPr>
            <w:tcW w:w="5568" w:type="dxa"/>
            <w:vAlign w:val="center"/>
          </w:tcPr>
          <w:p>
            <w:pPr>
              <w:wordWrap w:val="0"/>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kern w:val="0"/>
                <w:szCs w:val="21"/>
              </w:rPr>
              <w:t>深圳交易咨询集团有限公司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38" w:type="dxa"/>
            <w:vMerge w:val="continue"/>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地址</w:t>
            </w:r>
          </w:p>
        </w:tc>
        <w:tc>
          <w:tcPr>
            <w:tcW w:w="5568" w:type="dxa"/>
            <w:vAlign w:val="center"/>
          </w:tcPr>
          <w:p>
            <w:pPr>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cs="宋体"/>
                <w:szCs w:val="21"/>
              </w:rPr>
              <w:t>广东省深圳市南山区沙河西路3157号深圳交易集团总部大楼21层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538" w:type="dxa"/>
            <w:vMerge w:val="continue"/>
            <w:shd w:val="clear" w:color="auto" w:fill="DBE5F1"/>
          </w:tcPr>
          <w:p>
            <w:pPr>
              <w:wordWrap w:val="0"/>
              <w:autoSpaceDE w:val="0"/>
              <w:autoSpaceDN w:val="0"/>
              <w:adjustRightInd w:val="0"/>
              <w:snapToGrid w:val="0"/>
              <w:spacing w:line="360" w:lineRule="auto"/>
              <w:jc w:val="center"/>
              <w:textAlignment w:val="center"/>
              <w:rPr>
                <w:rFonts w:ascii="宋体" w:hAnsi="宋体" w:cs="宋体"/>
                <w:szCs w:val="21"/>
              </w:rPr>
            </w:pPr>
          </w:p>
        </w:tc>
        <w:tc>
          <w:tcPr>
            <w:tcW w:w="2573" w:type="dxa"/>
            <w:shd w:val="clear" w:color="auto" w:fill="DBE5F1"/>
            <w:vAlign w:val="center"/>
          </w:tcPr>
          <w:p>
            <w:pPr>
              <w:wordWrap w:val="0"/>
              <w:autoSpaceDE w:val="0"/>
              <w:autoSpaceDN w:val="0"/>
              <w:adjustRightInd w:val="0"/>
              <w:snapToGrid w:val="0"/>
              <w:spacing w:line="360" w:lineRule="auto"/>
              <w:jc w:val="center"/>
              <w:rPr>
                <w:rFonts w:ascii="宋体" w:hAnsi="宋体" w:cs="宋体"/>
                <w:kern w:val="0"/>
                <w:szCs w:val="21"/>
              </w:rPr>
            </w:pPr>
            <w:r>
              <w:rPr>
                <w:rFonts w:hint="eastAsia" w:ascii="宋体" w:hAnsi="宋体" w:cs="宋体"/>
                <w:kern w:val="0"/>
                <w:szCs w:val="21"/>
              </w:rPr>
              <w:t>联系人</w:t>
            </w:r>
          </w:p>
        </w:tc>
        <w:tc>
          <w:tcPr>
            <w:tcW w:w="5568" w:type="dxa"/>
            <w:vAlign w:val="center"/>
          </w:tcPr>
          <w:p>
            <w:pPr>
              <w:autoSpaceDE w:val="0"/>
              <w:autoSpaceDN w:val="0"/>
              <w:adjustRightInd w:val="0"/>
              <w:snapToGrid w:val="0"/>
              <w:spacing w:line="360" w:lineRule="auto"/>
              <w:jc w:val="left"/>
              <w:textAlignment w:val="center"/>
              <w:rPr>
                <w:rFonts w:ascii="宋体" w:hAnsi="宋体" w:cs="宋体"/>
                <w:kern w:val="0"/>
                <w:szCs w:val="21"/>
              </w:rPr>
            </w:pPr>
            <w:r>
              <w:rPr>
                <w:rFonts w:hint="eastAsia" w:ascii="宋体" w:hAnsi="宋体"/>
                <w:kern w:val="0"/>
                <w:szCs w:val="21"/>
              </w:rPr>
              <w:t>林佳瑜、</w:t>
            </w:r>
            <w:r>
              <w:rPr>
                <w:rFonts w:ascii="宋体" w:hAnsi="宋体"/>
                <w:kern w:val="0"/>
                <w:szCs w:val="21"/>
              </w:rPr>
              <w:t>陈枫阳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538" w:type="dxa"/>
            <w:vMerge w:val="continue"/>
            <w:shd w:val="clear" w:color="auto" w:fill="DBE5F1"/>
          </w:tcPr>
          <w:p>
            <w:pPr>
              <w:wordWrap w:val="0"/>
              <w:autoSpaceDE w:val="0"/>
              <w:autoSpaceDN w:val="0"/>
              <w:adjustRightInd w:val="0"/>
              <w:snapToGrid w:val="0"/>
              <w:spacing w:line="360" w:lineRule="auto"/>
              <w:jc w:val="center"/>
              <w:textAlignment w:val="center"/>
              <w:rPr>
                <w:rFonts w:ascii="宋体" w:hAnsi="宋体" w:cs="宋体"/>
                <w:szCs w:val="21"/>
              </w:rPr>
            </w:pPr>
          </w:p>
        </w:tc>
        <w:tc>
          <w:tcPr>
            <w:tcW w:w="2573" w:type="dxa"/>
            <w:shd w:val="clear" w:color="auto" w:fill="DBE5F1"/>
            <w:vAlign w:val="center"/>
          </w:tcPr>
          <w:p>
            <w:pPr>
              <w:wordWrap w:val="0"/>
              <w:autoSpaceDE w:val="0"/>
              <w:autoSpaceDN w:val="0"/>
              <w:adjustRightInd w:val="0"/>
              <w:snapToGrid w:val="0"/>
              <w:spacing w:line="360" w:lineRule="auto"/>
              <w:jc w:val="center"/>
              <w:rPr>
                <w:rFonts w:ascii="宋体" w:hAnsi="宋体" w:cs="宋体"/>
                <w:kern w:val="0"/>
                <w:szCs w:val="21"/>
              </w:rPr>
            </w:pPr>
            <w:r>
              <w:rPr>
                <w:rFonts w:hint="eastAsia" w:ascii="宋体" w:hAnsi="宋体" w:cs="宋体"/>
                <w:kern w:val="0"/>
                <w:szCs w:val="21"/>
              </w:rPr>
              <w:t>联系方式</w:t>
            </w:r>
          </w:p>
        </w:tc>
        <w:tc>
          <w:tcPr>
            <w:tcW w:w="5568" w:type="dxa"/>
            <w:vAlign w:val="center"/>
          </w:tcPr>
          <w:p>
            <w:pPr>
              <w:autoSpaceDE w:val="0"/>
              <w:autoSpaceDN w:val="0"/>
              <w:adjustRightInd w:val="0"/>
              <w:snapToGrid w:val="0"/>
              <w:spacing w:line="360" w:lineRule="auto"/>
              <w:jc w:val="left"/>
              <w:rPr>
                <w:rFonts w:ascii="宋体" w:hAnsi="宋体" w:cs="宋体"/>
                <w:kern w:val="0"/>
                <w:szCs w:val="21"/>
              </w:rPr>
            </w:pPr>
            <w:r>
              <w:rPr>
                <w:rFonts w:ascii="宋体" w:hAnsi="宋体" w:cs="宋体"/>
                <w:szCs w:val="21"/>
              </w:rPr>
              <w:t>13249718650/18520448834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538" w:type="dxa"/>
            <w:vMerge w:val="continue"/>
            <w:shd w:val="clear" w:color="auto" w:fill="DBE5F1"/>
          </w:tcPr>
          <w:p>
            <w:pPr>
              <w:wordWrap w:val="0"/>
              <w:autoSpaceDE w:val="0"/>
              <w:autoSpaceDN w:val="0"/>
              <w:adjustRightInd w:val="0"/>
              <w:snapToGrid w:val="0"/>
              <w:spacing w:line="360" w:lineRule="auto"/>
              <w:jc w:val="center"/>
              <w:textAlignment w:val="center"/>
              <w:rPr>
                <w:rFonts w:ascii="宋体" w:hAnsi="宋体" w:cs="宋体"/>
                <w:szCs w:val="21"/>
              </w:rPr>
            </w:pPr>
          </w:p>
        </w:tc>
        <w:tc>
          <w:tcPr>
            <w:tcW w:w="2573" w:type="dxa"/>
            <w:shd w:val="clear" w:color="auto" w:fill="DBE5F1"/>
            <w:vAlign w:val="center"/>
          </w:tcPr>
          <w:p>
            <w:pPr>
              <w:wordWrap w:val="0"/>
              <w:autoSpaceDE w:val="0"/>
              <w:autoSpaceDN w:val="0"/>
              <w:adjustRightInd w:val="0"/>
              <w:snapToGrid w:val="0"/>
              <w:spacing w:line="360" w:lineRule="auto"/>
              <w:jc w:val="center"/>
              <w:rPr>
                <w:rFonts w:ascii="宋体" w:hAnsi="宋体" w:cs="宋体"/>
                <w:kern w:val="0"/>
                <w:szCs w:val="21"/>
              </w:rPr>
            </w:pPr>
            <w:r>
              <w:rPr>
                <w:rFonts w:hint="eastAsia" w:ascii="宋体" w:hAnsi="宋体" w:cs="宋体"/>
                <w:kern w:val="0"/>
                <w:szCs w:val="21"/>
              </w:rPr>
              <w:t>邮箱地址</w:t>
            </w:r>
          </w:p>
        </w:tc>
        <w:tc>
          <w:tcPr>
            <w:tcW w:w="5568" w:type="dxa"/>
            <w:vAlign w:val="center"/>
          </w:tcPr>
          <w:p>
            <w:pPr>
              <w:wordWrap w:val="0"/>
              <w:autoSpaceDE w:val="0"/>
              <w:autoSpaceDN w:val="0"/>
              <w:adjustRightInd w:val="0"/>
              <w:snapToGrid w:val="0"/>
              <w:spacing w:line="360" w:lineRule="auto"/>
              <w:jc w:val="left"/>
              <w:rPr>
                <w:rFonts w:ascii="宋体" w:hAnsi="宋体" w:cs="宋体"/>
                <w:kern w:val="0"/>
                <w:szCs w:val="21"/>
              </w:rPr>
            </w:pPr>
            <w:r>
              <w:rPr>
                <w:rFonts w:ascii="宋体" w:hAnsi="宋体" w:cs="Courier New"/>
                <w:kern w:val="0"/>
                <w:szCs w:val="21"/>
              </w:rPr>
              <w:t>wangyicfy@163.com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1538" w:type="dxa"/>
            <w:vMerge w:val="continue"/>
            <w:shd w:val="clear" w:color="auto" w:fill="DBE5F1"/>
          </w:tcPr>
          <w:p>
            <w:pPr>
              <w:wordWrap w:val="0"/>
              <w:autoSpaceDE w:val="0"/>
              <w:autoSpaceDN w:val="0"/>
              <w:adjustRightInd w:val="0"/>
              <w:snapToGrid w:val="0"/>
              <w:spacing w:line="360" w:lineRule="auto"/>
              <w:jc w:val="center"/>
              <w:textAlignment w:val="center"/>
              <w:rPr>
                <w:rFonts w:ascii="宋体" w:hAnsi="宋体" w:cs="宋体"/>
                <w:szCs w:val="21"/>
              </w:rPr>
            </w:pPr>
          </w:p>
        </w:tc>
        <w:tc>
          <w:tcPr>
            <w:tcW w:w="2573" w:type="dxa"/>
            <w:shd w:val="clear" w:color="auto" w:fill="DBE5F1"/>
            <w:vAlign w:val="center"/>
          </w:tcPr>
          <w:p>
            <w:pPr>
              <w:wordWrap w:val="0"/>
              <w:autoSpaceDE w:val="0"/>
              <w:autoSpaceDN w:val="0"/>
              <w:adjustRightInd w:val="0"/>
              <w:snapToGrid w:val="0"/>
              <w:spacing w:line="360" w:lineRule="auto"/>
              <w:jc w:val="center"/>
              <w:textAlignment w:val="center"/>
              <w:rPr>
                <w:rFonts w:ascii="宋体" w:hAnsi="宋体" w:cs="宋体"/>
                <w:kern w:val="0"/>
                <w:szCs w:val="21"/>
              </w:rPr>
            </w:pPr>
            <w:r>
              <w:rPr>
                <w:rFonts w:hint="eastAsia" w:ascii="宋体" w:hAnsi="宋体" w:cs="宋体"/>
                <w:kern w:val="0"/>
                <w:szCs w:val="21"/>
              </w:rPr>
              <w:t>网址</w:t>
            </w:r>
          </w:p>
        </w:tc>
        <w:tc>
          <w:tcPr>
            <w:tcW w:w="5568" w:type="dxa"/>
            <w:vAlign w:val="center"/>
          </w:tcPr>
          <w:p>
            <w:pPr>
              <w:wordWrap w:val="0"/>
              <w:autoSpaceDE w:val="0"/>
              <w:autoSpaceDN w:val="0"/>
              <w:adjustRightInd w:val="0"/>
              <w:snapToGrid w:val="0"/>
              <w:spacing w:line="360" w:lineRule="auto"/>
              <w:jc w:val="left"/>
              <w:rPr>
                <w:rFonts w:ascii="宋体" w:hAnsi="宋体" w:cs="宋体"/>
                <w:szCs w:val="21"/>
              </w:rPr>
            </w:pPr>
            <w:r>
              <w:rPr>
                <w:rFonts w:hint="eastAsia" w:ascii="宋体" w:hAnsi="宋体" w:cs="宋体"/>
                <w:szCs w:val="21"/>
              </w:rPr>
              <w:t>深圳阳光租赁平台：</w:t>
            </w:r>
          </w:p>
          <w:p>
            <w:pPr>
              <w:wordWrap w:val="0"/>
              <w:autoSpaceDE w:val="0"/>
              <w:autoSpaceDN w:val="0"/>
              <w:adjustRightInd w:val="0"/>
              <w:snapToGrid w:val="0"/>
              <w:spacing w:line="360" w:lineRule="auto"/>
              <w:jc w:val="left"/>
              <w:rPr>
                <w:rFonts w:ascii="宋体" w:hAnsi="宋体" w:cs="宋体"/>
                <w:szCs w:val="21"/>
              </w:rPr>
            </w:pPr>
            <w:r>
              <w:rPr>
                <w:rFonts w:ascii="宋体" w:hAnsi="宋体" w:cs="宋体"/>
                <w:szCs w:val="21"/>
              </w:rPr>
              <w:t>https://rent.szexgrp.com/</w:t>
            </w:r>
          </w:p>
          <w:p>
            <w:pPr>
              <w:wordWrap w:val="0"/>
              <w:autoSpaceDE w:val="0"/>
              <w:autoSpaceDN w:val="0"/>
              <w:adjustRightInd w:val="0"/>
              <w:snapToGrid w:val="0"/>
              <w:spacing w:line="360" w:lineRule="auto"/>
              <w:jc w:val="left"/>
              <w:rPr>
                <w:rFonts w:ascii="宋体" w:hAnsi="宋体" w:cs="宋体"/>
                <w:szCs w:val="21"/>
              </w:rPr>
            </w:pPr>
            <w:r>
              <w:rPr>
                <w:rFonts w:hint="eastAsia" w:ascii="宋体" w:hAnsi="宋体" w:cs="宋体"/>
                <w:szCs w:val="21"/>
              </w:rPr>
              <w:t>深圳交易咨询集团有限公司</w:t>
            </w:r>
          </w:p>
          <w:p>
            <w:pPr>
              <w:wordWrap w:val="0"/>
              <w:autoSpaceDE w:val="0"/>
              <w:autoSpaceDN w:val="0"/>
              <w:adjustRightInd w:val="0"/>
              <w:snapToGrid w:val="0"/>
              <w:spacing w:line="360" w:lineRule="auto"/>
              <w:jc w:val="left"/>
              <w:rPr>
                <w:rFonts w:ascii="宋体" w:hAnsi="宋体" w:cs="宋体"/>
                <w:kern w:val="0"/>
                <w:szCs w:val="21"/>
              </w:rPr>
            </w:pPr>
            <w:r>
              <w:rPr>
                <w:rFonts w:ascii="宋体" w:hAnsi="宋体" w:cs="宋体"/>
                <w:szCs w:val="21"/>
              </w:rPr>
              <w:t>http://new.sztc.com/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4111" w:type="dxa"/>
            <w:gridSpan w:val="2"/>
            <w:shd w:val="clear" w:color="auto" w:fill="DBE5F1"/>
            <w:vAlign w:val="center"/>
          </w:tcPr>
          <w:p>
            <w:pPr>
              <w:wordWrap w:val="0"/>
              <w:autoSpaceDE w:val="0"/>
              <w:autoSpaceDN w:val="0"/>
              <w:adjustRightInd w:val="0"/>
              <w:snapToGrid w:val="0"/>
              <w:spacing w:line="360" w:lineRule="auto"/>
              <w:jc w:val="center"/>
              <w:rPr>
                <w:rFonts w:ascii="宋体" w:hAnsi="宋体" w:cs="宋体"/>
                <w:kern w:val="0"/>
                <w:szCs w:val="21"/>
              </w:rPr>
            </w:pPr>
            <w:r>
              <w:rPr>
                <w:rFonts w:hint="eastAsia" w:ascii="宋体" w:hAnsi="宋体" w:cs="宋体"/>
                <w:kern w:val="0"/>
                <w:szCs w:val="21"/>
              </w:rPr>
              <w:t>特别说明</w:t>
            </w:r>
          </w:p>
        </w:tc>
        <w:tc>
          <w:tcPr>
            <w:tcW w:w="5568" w:type="dxa"/>
            <w:vAlign w:val="center"/>
          </w:tcPr>
          <w:p>
            <w:pPr>
              <w:wordWrap w:val="0"/>
              <w:autoSpaceDE w:val="0"/>
              <w:autoSpaceDN w:val="0"/>
              <w:adjustRightInd w:val="0"/>
              <w:snapToGrid w:val="0"/>
              <w:spacing w:line="360" w:lineRule="auto"/>
              <w:jc w:val="left"/>
              <w:rPr>
                <w:rFonts w:ascii="宋体" w:hAnsi="宋体" w:cs="宋体"/>
                <w:kern w:val="0"/>
                <w:szCs w:val="21"/>
              </w:rPr>
            </w:pPr>
            <w:r>
              <w:rPr>
                <w:rFonts w:hint="eastAsia" w:ascii="宋体" w:hAnsi="宋体" w:cs="宋体"/>
                <w:kern w:val="0"/>
                <w:szCs w:val="21"/>
              </w:rPr>
              <w:t>本次公开招租的行为是按照《深国资委【2020】132号》文规定的程序进行的。招租交易机构（深圳交易咨询集团有限公司）负责交易程序的组织工作。招租方在招租公告及招租文件中关于招租物业的描述情况是其真实的意思表示，招租方保证本次招租的物业是指国有企业所有、受托管理或掌握实际控制权的，按法律法规可用于租赁的物业。因上述物业产权情况及描述情况存在的瑕疵；招租方与原竞价人的相关物业纠纷；招租方根据原合同及相关规定确定“优先承租权人”的相关事项均与招租交易机构无关。</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E8F"/>
    <w:rsid w:val="00097196"/>
    <w:rsid w:val="00161686"/>
    <w:rsid w:val="003F5B01"/>
    <w:rsid w:val="00656E8F"/>
    <w:rsid w:val="00BE1E97"/>
    <w:rsid w:val="12B96C12"/>
    <w:rsid w:val="3828499D"/>
    <w:rsid w:val="5B21771A"/>
    <w:rsid w:val="62E60BF4"/>
    <w:rsid w:val="78F67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autoSpaceDE w:val="0"/>
      <w:autoSpaceDN w:val="0"/>
      <w:adjustRightInd w:val="0"/>
      <w:snapToGrid w:val="0"/>
      <w:spacing w:line="360" w:lineRule="auto"/>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annotation text"/>
    <w:basedOn w:val="1"/>
    <w:unhideWhenUsed/>
    <w:qFormat/>
    <w:uiPriority w:val="99"/>
    <w:pPr>
      <w:jc w:val="left"/>
    </w:pPr>
  </w:style>
  <w:style w:type="paragraph" w:styleId="4">
    <w:name w:val="toc 1"/>
    <w:basedOn w:val="1"/>
    <w:next w:val="1"/>
    <w:unhideWhenUsed/>
    <w:qFormat/>
    <w:uiPriority w:val="39"/>
    <w:pPr>
      <w:jc w:val="both"/>
    </w:pPr>
    <w:rPr>
      <w:rFonts w:ascii="Calibri" w:hAnsi="Calibri"/>
      <w:szCs w:val="22"/>
    </w:rPr>
  </w:style>
  <w:style w:type="character" w:styleId="7">
    <w:name w:val="Hyperlink"/>
    <w:unhideWhenUsed/>
    <w:qFormat/>
    <w:uiPriority w:val="99"/>
    <w:rPr>
      <w:rFonts w:ascii="Arial" w:hAnsi="Arial" w:cs="Arial"/>
      <w:color w:val="333333"/>
      <w:u w:val="none"/>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435</Words>
  <Characters>2481</Characters>
  <Lines>20</Lines>
  <Paragraphs>5</Paragraphs>
  <TotalTime>1</TotalTime>
  <ScaleCrop>false</ScaleCrop>
  <LinksUpToDate>false</LinksUpToDate>
  <CharactersWithSpaces>2911</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2023-04-07T08:26:00Z</dcterms:created>
  <dc:creator>陈枫阳</dc:creator>
  <cp:lastModifiedBy>舒适臻</cp:lastModifiedBy>
  <dcterms:modified xsi:type="dcterms:W3CDTF">2023-09-13T02:29:25Z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