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蓝色未来科技园和口岸大楼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bookmarkStart w:id="10" w:name="_GoBack"/>
      <w:bookmarkEnd w:id="10"/>
      <w:r>
        <w:rPr>
          <w:rFonts w:hint="eastAsia" w:ascii="方正小标宋简体" w:eastAsia="方正小标宋简体"/>
          <w:sz w:val="52"/>
          <w:szCs w:val="52"/>
          <w:lang w:eastAsia="zh-CN"/>
        </w:rPr>
        <w:t>外墙清洗</w:t>
      </w:r>
      <w:r>
        <w:rPr>
          <w:rFonts w:hint="eastAsia" w:ascii="方正小标宋简体" w:eastAsia="方正小标宋简体"/>
          <w:sz w:val="52"/>
          <w:szCs w:val="52"/>
        </w:rPr>
        <w:t>项目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征集</w:t>
      </w:r>
      <w:r>
        <w:rPr>
          <w:rFonts w:hint="eastAsia" w:ascii="方正小标宋简体" w:eastAsia="方正小标宋简体"/>
          <w:sz w:val="52"/>
          <w:szCs w:val="52"/>
        </w:rPr>
        <w:t>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蓝色未来科技园和口岸大楼外墙清洗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59818"/>
      <w:bookmarkStart w:id="1" w:name="_Toc241484770"/>
      <w:bookmarkStart w:id="2" w:name="_Toc27595622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75956221"/>
      <w:bookmarkStart w:id="4" w:name="_Toc144974861"/>
      <w:bookmarkStart w:id="5" w:name="_Toc179632812"/>
      <w:bookmarkStart w:id="6" w:name="_Toc152045792"/>
      <w:bookmarkStart w:id="7" w:name="_Toc152042581"/>
      <w:bookmarkStart w:id="8" w:name="_Toc241459819"/>
      <w:bookmarkStart w:id="9" w:name="_Toc24148477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业绩文件需提供合同（关键页）、竣工验收报告或完工证明（如有）、其他证明材料（如有）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业绩汇总表和证明材料需提供盖章扫描版（U盘），同其他文件，密封包装。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3C5E"/>
    <w:multiLevelType w:val="singleLevel"/>
    <w:tmpl w:val="18C83C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2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111641E6"/>
    <w:rsid w:val="2B961549"/>
    <w:rsid w:val="4D654251"/>
    <w:rsid w:val="6FD31D86"/>
    <w:rsid w:val="7C1633ED"/>
    <w:rsid w:val="7CE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11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cp:lastPrinted>2022-09-08T01:35:00Z</cp:lastPrinted>
  <dcterms:modified xsi:type="dcterms:W3CDTF">2022-10-17T00:57:55Z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