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3520" w:firstLineChars="1100"/>
        <w:jc w:val="both"/>
        <w:outlineLvl w:val="0"/>
        <w:rPr>
          <w:rFonts w:hint="eastAsia" w:ascii="黑体" w:hAnsi="黑体" w:eastAsia="黑体" w:cs="黑体"/>
          <w:bCs/>
          <w:sz w:val="32"/>
          <w:szCs w:val="32"/>
        </w:rPr>
      </w:pPr>
      <w:bookmarkStart w:id="0" w:name="_Toc24942"/>
      <w:r>
        <w:rPr>
          <w:rFonts w:hint="eastAsia" w:ascii="黑体" w:hAnsi="黑体" w:eastAsia="黑体" w:cs="黑体"/>
          <w:bCs/>
          <w:sz w:val="32"/>
          <w:szCs w:val="32"/>
        </w:rPr>
        <w:t>招租公告</w:t>
      </w:r>
      <w:bookmarkEnd w:id="0"/>
      <w:bookmarkStart w:id="1" w:name="_GoBack"/>
      <w:bookmarkEnd w:id="1"/>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CellMar>
            <w:top w:w="0" w:type="dxa"/>
            <w:left w:w="108" w:type="dxa"/>
            <w:bottom w:w="0" w:type="dxa"/>
            <w:right w:w="108" w:type="dxa"/>
          </w:tblCellMar>
        </w:tblPrEx>
        <w:trPr>
          <w:trHeight w:val="90"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项目编号</w:t>
            </w:r>
          </w:p>
        </w:tc>
        <w:tc>
          <w:tcPr>
            <w:tcW w:w="5568" w:type="dxa"/>
            <w:noWrap w:val="0"/>
            <w:vAlign w:val="center"/>
          </w:tcPr>
          <w:p>
            <w:pPr>
              <w:widowControl/>
              <w:suppressLineNumbers/>
              <w:suppressAutoHyphens/>
              <w:topLinePunct/>
              <w:adjustRightInd w:val="0"/>
              <w:snapToGrid w:val="0"/>
              <w:spacing w:line="360" w:lineRule="auto"/>
              <w:ind w:left="-65" w:leftChars="-31"/>
              <w:jc w:val="left"/>
              <w:textAlignment w:val="center"/>
              <w:rPr>
                <w:rFonts w:hint="eastAsia" w:ascii="宋体" w:hAnsi="宋体" w:cs="宋体"/>
                <w:kern w:val="0"/>
                <w:szCs w:val="21"/>
              </w:rPr>
            </w:pPr>
            <w:r>
              <w:rPr>
                <w:rFonts w:hint="eastAsia" w:ascii="宋体" w:hAnsi="宋体" w:cs="宋体"/>
                <w:kern w:val="0"/>
                <w:szCs w:val="21"/>
              </w:rPr>
              <w:t>GKZZ220370014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项目名称</w:t>
            </w:r>
          </w:p>
        </w:tc>
        <w:tc>
          <w:tcPr>
            <w:tcW w:w="5568"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大铲湾港区码头二期公共道路南侧场地公开招租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招租方</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公告</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时间</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起始日期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u w:val="single"/>
              </w:rPr>
            </w:pPr>
            <w:r>
              <w:rPr>
                <w:rFonts w:hint="eastAsia" w:ascii="宋体" w:hAnsi="宋体" w:cs="宋体"/>
                <w:kern w:val="0"/>
                <w:szCs w:val="21"/>
              </w:rPr>
              <w:t>2022年1月17日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截止日期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2022年1月28日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出租资产基本情况</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出租资产位置</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大铲湾港区码头二期公共道路南侧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出租资产面积</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约25000㎡（具体面积以现场实测为准）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招租底价</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人民币15元/㎡/月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租金递增幅度</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color w:val="FF0000"/>
                <w:kern w:val="0"/>
                <w:szCs w:val="21"/>
              </w:rPr>
            </w:pPr>
            <w:r>
              <w:rPr>
                <w:rFonts w:hint="eastAsia" w:ascii="宋体" w:hAnsi="宋体" w:cs="宋体"/>
                <w:color w:val="000000"/>
                <w:kern w:val="0"/>
                <w:szCs w:val="21"/>
              </w:rPr>
              <w:t>自租赁合同签署后第二年起租金标准每年递增5%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场地管理费</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人民币0.5元/㎡/月（场地管理费由承租方与深圳市大铲湾智城物业服务有限公司签订合同，并按合同要求缴纳）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水电费</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按实际用量自行缴纳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空调费</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其他费用</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场地的水、电、排污等由承租方自行解决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租金支付方式</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一月一付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出租期限</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2年（含免租建设期）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免租期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ascii="宋体" w:hAnsi="宋体" w:cs="宋体"/>
                <w:kern w:val="0"/>
                <w:szCs w:val="21"/>
              </w:rPr>
            </w:pPr>
            <w:r>
              <w:rPr>
                <w:rFonts w:hint="eastAsia" w:ascii="宋体" w:hAnsi="宋体" w:cs="宋体"/>
                <w:kern w:val="0"/>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经营业态限定</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建设汽车中转库及其相关配套产业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出租资产用途</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港口用地（有土地使用权）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出租资产现状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ascii="宋体" w:hAnsi="宋体" w:cs="宋体"/>
                <w:kern w:val="0"/>
                <w:szCs w:val="21"/>
              </w:rPr>
            </w:pPr>
            <w:r>
              <w:rPr>
                <w:rFonts w:hint="eastAsia" w:ascii="宋体" w:hAnsi="宋体" w:cs="宋体"/>
                <w:kern w:val="0"/>
                <w:szCs w:val="21"/>
              </w:rPr>
              <w:t>空置，招租标的一直处于围堰后自然放置状态，未做地基处理。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出租物业装修情况</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是否允许承租方对物业进行二次装修</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是否涉及优先承租权</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租赁保证金</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以中标价计算的3个月场地租金。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履约条件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其他</w:t>
            </w:r>
          </w:p>
        </w:tc>
        <w:tc>
          <w:tcPr>
            <w:tcW w:w="5568" w:type="dxa"/>
            <w:noWrap w:val="0"/>
            <w:vAlign w:val="center"/>
          </w:tcPr>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场地成交后，租赁场地的“三通一平”等建设（建设内容包含但不限于水、电接驳设施，排污、排水设施，场地硬底化处理以及场内的道路建设等）由承租方自行负责，所产生的相应费用由承租方承担，报建手续承租方自行向政府相关职能部门报批，并在取得政府部门同意后方可施工。租赁期限内，出租方极有可能进行港口建设，并提前收回租赁场地，承租方需无条件配合，出租方无需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szCs w:val="21"/>
              </w:rPr>
              <w:t>竞价人资格</w:t>
            </w:r>
          </w:p>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szCs w:val="21"/>
              </w:rPr>
              <w:t>要求</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竞价人应具备的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资格条件</w:t>
            </w:r>
          </w:p>
        </w:tc>
        <w:tc>
          <w:tcPr>
            <w:tcW w:w="5568" w:type="dxa"/>
            <w:shd w:val="clear" w:color="auto" w:fill="FFFFFF"/>
            <w:noWrap w:val="0"/>
            <w:vAlign w:val="center"/>
          </w:tcPr>
          <w:p>
            <w:pPr>
              <w:numPr>
                <w:ilvl w:val="0"/>
                <w:numId w:val="2"/>
              </w:numPr>
              <w:spacing w:line="360" w:lineRule="auto"/>
              <w:ind w:left="-57"/>
              <w:jc w:val="left"/>
              <w:rPr>
                <w:rFonts w:ascii="宋体" w:hAnsi="宋体" w:cs="宋体"/>
                <w:kern w:val="0"/>
                <w:szCs w:val="21"/>
              </w:rPr>
            </w:pPr>
            <w:r>
              <w:rPr>
                <w:rFonts w:hint="eastAsia" w:ascii="宋体" w:hAnsi="宋体" w:cs="宋体"/>
                <w:kern w:val="0"/>
                <w:szCs w:val="21"/>
              </w:rPr>
              <w:t>竞价人须为在深圳市依法注册的具有独立法人资格的机构，且公司注册成立时间不少于10年（含10年, 自公告之日起往前推算），公司注册资本金不少于2000万元（含）；</w:t>
            </w:r>
          </w:p>
          <w:p>
            <w:pPr>
              <w:numPr>
                <w:ilvl w:val="0"/>
                <w:numId w:val="2"/>
              </w:numPr>
              <w:spacing w:line="360" w:lineRule="auto"/>
              <w:ind w:left="-57"/>
              <w:jc w:val="left"/>
              <w:rPr>
                <w:rFonts w:hint="eastAsia" w:ascii="宋体" w:hAnsi="宋体" w:cs="宋体"/>
                <w:kern w:val="0"/>
                <w:szCs w:val="21"/>
              </w:rPr>
            </w:pPr>
            <w:r>
              <w:rPr>
                <w:rFonts w:hint="eastAsia" w:ascii="宋体" w:hAnsi="宋体" w:cs="宋体"/>
                <w:kern w:val="0"/>
                <w:szCs w:val="21"/>
              </w:rPr>
              <w:t>竞价人或其控股公司须具备独立经营和建设品牌汽车4S店的能力，建成经营的汽车4S店不少于5家，且代理销售的汽车品牌不少于两个；竞价人或其控股公司近三年度汽车产业营业额不低于10亿元；</w:t>
            </w:r>
          </w:p>
          <w:p>
            <w:pPr>
              <w:numPr>
                <w:ilvl w:val="0"/>
                <w:numId w:val="2"/>
              </w:numPr>
              <w:spacing w:line="360" w:lineRule="auto"/>
              <w:ind w:left="-57"/>
              <w:jc w:val="left"/>
              <w:rPr>
                <w:rFonts w:hint="eastAsia" w:ascii="宋体" w:hAnsi="宋体" w:cs="宋体"/>
                <w:kern w:val="0"/>
                <w:szCs w:val="21"/>
              </w:rPr>
            </w:pPr>
            <w:r>
              <w:rPr>
                <w:rFonts w:hint="eastAsia" w:ascii="宋体" w:hAnsi="宋体" w:cs="宋体"/>
                <w:kern w:val="0"/>
                <w:szCs w:val="21"/>
              </w:rPr>
              <w:t>竞价人营业范围需包含但不限于：经营汽车（含小轿车）业务和经营进出口业务（需提供有效证明材料）；</w:t>
            </w:r>
          </w:p>
          <w:p>
            <w:pPr>
              <w:numPr>
                <w:ilvl w:val="0"/>
                <w:numId w:val="2"/>
              </w:numPr>
              <w:spacing w:line="360" w:lineRule="auto"/>
              <w:ind w:left="-57"/>
              <w:jc w:val="left"/>
              <w:rPr>
                <w:rFonts w:hint="eastAsia" w:ascii="宋体" w:hAnsi="宋体" w:cs="宋体"/>
                <w:kern w:val="0"/>
                <w:szCs w:val="21"/>
              </w:rPr>
            </w:pPr>
            <w:r>
              <w:rPr>
                <w:rFonts w:hint="eastAsia" w:ascii="宋体" w:hAnsi="宋体" w:cs="宋体"/>
                <w:kern w:val="0"/>
                <w:szCs w:val="21"/>
              </w:rPr>
              <w:t>竞价人或其控股公司须取得汽车平行进口试点企业认证，需提供有效证明材料；</w:t>
            </w:r>
          </w:p>
          <w:p>
            <w:pPr>
              <w:numPr>
                <w:ilvl w:val="0"/>
                <w:numId w:val="2"/>
              </w:numPr>
              <w:spacing w:line="360" w:lineRule="auto"/>
              <w:ind w:left="-57"/>
              <w:jc w:val="left"/>
              <w:rPr>
                <w:rFonts w:hint="eastAsia" w:ascii="宋体" w:hAnsi="宋体" w:cs="宋体"/>
                <w:kern w:val="0"/>
                <w:szCs w:val="21"/>
              </w:rPr>
            </w:pPr>
            <w:r>
              <w:rPr>
                <w:rFonts w:hint="eastAsia" w:ascii="宋体" w:hAnsi="宋体" w:cs="宋体"/>
                <w:kern w:val="0"/>
                <w:szCs w:val="21"/>
              </w:rPr>
              <w:t>竞价人承诺遵守国家法律、法规，近三年内没有违法经营记录、无较大安全责任事故；如有违反，招租方有权拒绝其参与竞价或无责任解除租赁合同追究其经济及法律责任；</w:t>
            </w:r>
          </w:p>
          <w:p>
            <w:pPr>
              <w:numPr>
                <w:ilvl w:val="0"/>
                <w:numId w:val="2"/>
              </w:numPr>
              <w:spacing w:line="360" w:lineRule="auto"/>
              <w:ind w:left="-57"/>
              <w:jc w:val="left"/>
              <w:rPr>
                <w:rFonts w:hint="eastAsia" w:ascii="宋体" w:hAnsi="宋体" w:cs="宋体"/>
                <w:kern w:val="0"/>
                <w:szCs w:val="21"/>
              </w:rPr>
            </w:pPr>
            <w:r>
              <w:rPr>
                <w:rFonts w:hint="eastAsia" w:ascii="宋体" w:hAnsi="宋体" w:cs="宋体"/>
                <w:kern w:val="0"/>
                <w:szCs w:val="21"/>
              </w:rPr>
              <w:t>竞价人承诺如能中标，不在租赁场地内从事易燃易爆等危险品业务。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需提供的证明材料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b/>
                <w:kern w:val="0"/>
                <w:szCs w:val="21"/>
              </w:rPr>
            </w:pPr>
            <w:r>
              <w:rPr>
                <w:rFonts w:hint="eastAsia" w:ascii="宋体" w:hAnsi="宋体" w:cs="宋体"/>
                <w:b/>
                <w:kern w:val="0"/>
                <w:szCs w:val="21"/>
              </w:rPr>
              <w:t>单位或企业需提供的证明材料（均加盖公章原件备查）：</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1、营业执照复印件、企业信用信息公示报告打印件证明材料，</w:t>
            </w:r>
          </w:p>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（企业信用信息公示报告查询网址：</w:t>
            </w:r>
            <w:r>
              <w:rPr>
                <w:rFonts w:hint="eastAsia" w:ascii="宋体" w:hAnsi="宋体" w:cs="宋体"/>
                <w:kern w:val="0"/>
                <w:szCs w:val="21"/>
              </w:rPr>
              <w:fldChar w:fldCharType="begin"/>
            </w:r>
            <w:r>
              <w:rPr>
                <w:rFonts w:hint="eastAsia" w:ascii="宋体" w:hAnsi="宋体" w:cs="宋体"/>
                <w:kern w:val="0"/>
                <w:szCs w:val="21"/>
              </w:rPr>
              <w:instrText xml:space="preserve"> HYPERLINK "http://www.gsxt.gov.cn/index.html" </w:instrText>
            </w:r>
            <w:r>
              <w:rPr>
                <w:rFonts w:hint="eastAsia" w:ascii="宋体" w:hAnsi="宋体" w:cs="宋体"/>
                <w:kern w:val="0"/>
                <w:szCs w:val="21"/>
              </w:rPr>
              <w:fldChar w:fldCharType="separate"/>
            </w:r>
            <w:r>
              <w:rPr>
                <w:rStyle w:val="4"/>
                <w:rFonts w:hint="eastAsia" w:ascii="宋体" w:hAnsi="宋体" w:cs="宋体"/>
                <w:color w:val="auto"/>
                <w:kern w:val="0"/>
                <w:szCs w:val="21"/>
              </w:rPr>
              <w:t>http://www.gsxt.gov.cn/index.html</w:t>
            </w:r>
            <w:r>
              <w:rPr>
                <w:rFonts w:hint="eastAsia" w:ascii="宋体" w:hAnsi="宋体" w:cs="宋体"/>
                <w:kern w:val="0"/>
                <w:szCs w:val="21"/>
              </w:rPr>
              <w:fldChar w:fldCharType="end"/>
            </w:r>
            <w:r>
              <w:rPr>
                <w:rFonts w:hint="eastAsia" w:ascii="宋体" w:hAnsi="宋体" w:cs="宋体"/>
                <w:kern w:val="0"/>
                <w:szCs w:val="21"/>
              </w:rPr>
              <w:t>）；</w:t>
            </w:r>
          </w:p>
          <w:p>
            <w:pPr>
              <w:pStyle w:val="5"/>
              <w:widowControl/>
              <w:suppressLineNumbers/>
              <w:suppressAutoHyphens/>
              <w:topLinePunct/>
              <w:adjustRightInd w:val="0"/>
              <w:snapToGrid w:val="0"/>
              <w:spacing w:line="360" w:lineRule="auto"/>
              <w:ind w:firstLine="0" w:firstLineChars="0"/>
              <w:jc w:val="left"/>
              <w:textAlignment w:val="center"/>
              <w:rPr>
                <w:rFonts w:hint="eastAsia" w:ascii="宋体" w:hAnsi="宋体" w:cs="宋体"/>
                <w:kern w:val="0"/>
                <w:szCs w:val="21"/>
              </w:rPr>
            </w:pPr>
            <w:r>
              <w:rPr>
                <w:rFonts w:hint="eastAsia" w:ascii="宋体" w:hAnsi="宋体" w:cs="宋体"/>
                <w:kern w:val="0"/>
                <w:szCs w:val="21"/>
              </w:rPr>
              <w:t>2、竞价人建成经营的汽车4S店不少于5家，如自有物业提供房产证明等材料，租赁物业提供租赁合等证明材料、提供2个及以上汽车品牌经销商授权书复印件、提供近三年财务审计报告复印件；</w:t>
            </w:r>
          </w:p>
          <w:p>
            <w:pPr>
              <w:pStyle w:val="5"/>
              <w:widowControl/>
              <w:suppressLineNumbers/>
              <w:suppressAutoHyphens/>
              <w:topLinePunct/>
              <w:adjustRightInd w:val="0"/>
              <w:snapToGrid w:val="0"/>
              <w:spacing w:line="360" w:lineRule="auto"/>
              <w:ind w:firstLine="0" w:firstLineChars="0"/>
              <w:jc w:val="left"/>
              <w:textAlignment w:val="center"/>
              <w:rPr>
                <w:rFonts w:hint="eastAsia" w:ascii="宋体" w:hAnsi="宋体" w:cs="宋体"/>
                <w:kern w:val="0"/>
                <w:szCs w:val="21"/>
              </w:rPr>
            </w:pPr>
            <w:r>
              <w:rPr>
                <w:rFonts w:hint="eastAsia" w:ascii="宋体" w:hAnsi="宋体" w:cs="宋体"/>
                <w:kern w:val="0"/>
                <w:szCs w:val="21"/>
              </w:rPr>
              <w:t>3、汽车平行进口试点企业认证，提供有效证明材料；</w:t>
            </w:r>
          </w:p>
          <w:p>
            <w:pPr>
              <w:pStyle w:val="5"/>
              <w:widowControl/>
              <w:suppressLineNumbers/>
              <w:suppressAutoHyphens/>
              <w:topLinePunct/>
              <w:adjustRightInd w:val="0"/>
              <w:snapToGrid w:val="0"/>
              <w:spacing w:line="360" w:lineRule="auto"/>
              <w:ind w:firstLine="0" w:firstLineChars="0"/>
              <w:jc w:val="left"/>
              <w:textAlignment w:val="center"/>
              <w:rPr>
                <w:rFonts w:hint="eastAsia" w:ascii="宋体" w:hAnsi="宋体" w:cs="宋体"/>
                <w:kern w:val="0"/>
                <w:szCs w:val="21"/>
              </w:rPr>
            </w:pPr>
            <w:r>
              <w:rPr>
                <w:rFonts w:hint="eastAsia" w:ascii="宋体" w:hAnsi="宋体" w:cs="宋体"/>
                <w:kern w:val="0"/>
                <w:szCs w:val="21"/>
              </w:rPr>
              <w:t>4、提供承诺函及信用中国网查询单并加盖公章；（中国信用网查询网址：</w:t>
            </w:r>
            <w:r>
              <w:rPr>
                <w:rFonts w:hint="eastAsia" w:ascii="宋体" w:hAnsi="宋体" w:cs="宋体"/>
                <w:kern w:val="0"/>
                <w:szCs w:val="21"/>
              </w:rPr>
              <w:fldChar w:fldCharType="begin"/>
            </w:r>
            <w:r>
              <w:rPr>
                <w:rFonts w:hint="eastAsia" w:ascii="宋体" w:hAnsi="宋体" w:cs="宋体"/>
                <w:kern w:val="0"/>
                <w:szCs w:val="21"/>
              </w:rPr>
              <w:instrText xml:space="preserve"> HYPERLINK "https://www.creditchina.gov.cn/" </w:instrText>
            </w:r>
            <w:r>
              <w:rPr>
                <w:rFonts w:hint="eastAsia" w:ascii="宋体" w:hAnsi="宋体" w:cs="宋体"/>
                <w:kern w:val="0"/>
                <w:szCs w:val="21"/>
              </w:rPr>
              <w:fldChar w:fldCharType="separate"/>
            </w:r>
            <w:r>
              <w:rPr>
                <w:rStyle w:val="4"/>
                <w:rFonts w:hint="eastAsia" w:ascii="宋体" w:hAnsi="宋体" w:cs="宋体"/>
                <w:color w:val="auto"/>
                <w:kern w:val="0"/>
                <w:szCs w:val="21"/>
              </w:rPr>
              <w:t>https://www.creditchina.gov.cn/</w:t>
            </w:r>
            <w:r>
              <w:rPr>
                <w:rFonts w:hint="eastAsia" w:ascii="宋体" w:hAnsi="宋体" w:cs="宋体"/>
                <w:kern w:val="0"/>
                <w:szCs w:val="21"/>
              </w:rPr>
              <w:fldChar w:fldCharType="end"/>
            </w: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是否允许联合体竞价</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是否允许转租、分租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招租方式</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报名方式</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网上注册：</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竞价人报名前需登录</w:t>
            </w:r>
            <w:r>
              <w:rPr>
                <w:rFonts w:hint="eastAsia" w:ascii="宋体" w:hAnsi="宋体" w:cs="宋体"/>
                <w:kern w:val="0"/>
                <w:szCs w:val="21"/>
              </w:rPr>
              <w:fldChar w:fldCharType="begin"/>
            </w:r>
            <w:r>
              <w:rPr>
                <w:rFonts w:hint="eastAsia" w:ascii="宋体" w:hAnsi="宋体" w:cs="宋体"/>
                <w:kern w:val="0"/>
                <w:szCs w:val="21"/>
              </w:rPr>
              <w:instrText xml:space="preserve"> HYPERLINK "http://www.sztc.com/" </w:instrText>
            </w:r>
            <w:r>
              <w:rPr>
                <w:rFonts w:hint="eastAsia" w:ascii="宋体" w:hAnsi="宋体" w:cs="宋体"/>
                <w:kern w:val="0"/>
                <w:szCs w:val="21"/>
              </w:rPr>
              <w:fldChar w:fldCharType="separate"/>
            </w:r>
            <w:r>
              <w:rPr>
                <w:rStyle w:val="4"/>
                <w:rFonts w:hint="eastAsia" w:ascii="宋体" w:hAnsi="宋体" w:cs="宋体"/>
                <w:color w:val="auto"/>
                <w:kern w:val="0"/>
                <w:szCs w:val="21"/>
              </w:rPr>
              <w:t>http://www.sztc.com/</w:t>
            </w:r>
            <w:r>
              <w:rPr>
                <w:rFonts w:hint="eastAsia" w:ascii="宋体" w:hAnsi="宋体" w:cs="宋体"/>
                <w:kern w:val="0"/>
                <w:szCs w:val="21"/>
              </w:rPr>
              <w:fldChar w:fldCharType="end"/>
            </w:r>
            <w:r>
              <w:rPr>
                <w:rFonts w:hint="eastAsia" w:ascii="宋体" w:hAnsi="宋体" w:cs="宋体"/>
                <w:kern w:val="0"/>
                <w:szCs w:val="21"/>
              </w:rPr>
              <w:t>注册成会员（如已是正式会员请忽略），竞价人完成注册信息后提交审核，需客服后台工作人员审核，联系电话：400-616-6620。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网上报名：</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1、网上报名</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1）关注微信公众号“深国招国资招租平台”→点击菜单栏“我要报名”→填写报名登记表；</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2）缴纳报名费用，并在报名登记表中上传转账凭证；</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3）待工作人员核实后发出招租文件。</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2、现场报名</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1）携带报名所需资料前往现场，并联系交易机构工作人员；</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2）填写报名登记表，缴纳报名费用；</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3）待工作人员核实后发出招租文件。</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地址：深圳市南山区沙河西路与白石路交汇处深圳湾科技生态园2区9栋B4座6楼619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报名所需资料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1、营业执照</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2、法定代表人证明书</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3、法定代表人授权委托书</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4、法定代表人及被授权人身份证复印件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报名费用</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（售后不退）</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人民币200元/份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资格审查文件递交地点</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 xml:space="preserve">递交网址: </w:t>
            </w:r>
            <w:r>
              <w:rPr>
                <w:rFonts w:hint="eastAsia" w:ascii="宋体" w:hAnsi="宋体" w:cs="宋体"/>
              </w:rPr>
              <w:fldChar w:fldCharType="begin"/>
            </w:r>
            <w:r>
              <w:rPr>
                <w:rFonts w:hint="eastAsia" w:ascii="宋体" w:hAnsi="宋体" w:cs="宋体"/>
              </w:rPr>
              <w:instrText xml:space="preserve"> HYPERLINK "http://www.sztc.com" </w:instrText>
            </w:r>
            <w:r>
              <w:rPr>
                <w:rFonts w:hint="eastAsia" w:ascii="宋体" w:hAnsi="宋体" w:cs="宋体"/>
              </w:rPr>
              <w:fldChar w:fldCharType="separate"/>
            </w:r>
            <w:r>
              <w:rPr>
                <w:rStyle w:val="4"/>
                <w:rFonts w:hint="eastAsia" w:ascii="宋体" w:hAnsi="宋体" w:cs="宋体"/>
                <w:color w:val="auto"/>
                <w:kern w:val="0"/>
                <w:szCs w:val="21"/>
              </w:rPr>
              <w:t>http://www.sztc.com</w:t>
            </w:r>
            <w:r>
              <w:rPr>
                <w:rFonts w:hint="eastAsia" w:ascii="宋体" w:hAnsi="宋体" w:cs="宋体"/>
                <w:kern w:val="0"/>
                <w:szCs w:val="21"/>
              </w:rPr>
              <w:fldChar w:fldCharType="end"/>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spacing w:val="-6"/>
                <w:kern w:val="0"/>
                <w:szCs w:val="21"/>
              </w:rPr>
              <w:t>详见《报名及提交资格审查资料流程》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竞价人应具备的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资格条件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bCs/>
                <w:kern w:val="0"/>
                <w:szCs w:val="21"/>
              </w:rPr>
            </w:pPr>
            <w:r>
              <w:rPr>
                <w:rFonts w:hint="eastAsia" w:ascii="宋体" w:hAnsi="宋体" w:cs="宋体"/>
                <w:kern w:val="0"/>
                <w:szCs w:val="21"/>
              </w:rPr>
              <w:t>详见</w:t>
            </w:r>
            <w:r>
              <w:rPr>
                <w:rFonts w:hint="eastAsia" w:ascii="宋体" w:hAnsi="宋体" w:cs="宋体"/>
                <w:bCs/>
                <w:kern w:val="0"/>
                <w:szCs w:val="21"/>
              </w:rPr>
              <w:t>招租公告/</w:t>
            </w:r>
            <w:r>
              <w:rPr>
                <w:rFonts w:hint="eastAsia" w:ascii="宋体" w:hAnsi="宋体" w:cs="宋体"/>
                <w:kern w:val="0"/>
                <w:szCs w:val="21"/>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竞价人需提交的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资格审查材料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格式详见招租文件第五章及《报名及提交资格审查资料流程》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竞价文件有效期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竞价保证金</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缴纳截止时间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szCs w:val="21"/>
              </w:rPr>
              <w:t>金额</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人民币55万元（保证金无息退还）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noWrap w:val="0"/>
            <w:vAlign w:val="center"/>
          </w:tcPr>
          <w:p>
            <w:pPr>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竞价开始时间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noWrap w:val="0"/>
            <w:vAlign w:val="center"/>
          </w:tcPr>
          <w:p>
            <w:pPr>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竞价开始地点</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参与竞价的条件</w:t>
            </w:r>
          </w:p>
        </w:tc>
        <w:tc>
          <w:tcPr>
            <w:tcW w:w="5568" w:type="dxa"/>
            <w:noWrap w:val="0"/>
            <w:vAlign w:val="center"/>
          </w:tcPr>
          <w:p>
            <w:pPr>
              <w:widowControl/>
              <w:numPr>
                <w:ilvl w:val="0"/>
                <w:numId w:val="3"/>
              </w:numPr>
              <w:suppressLineNumbers/>
              <w:suppressAutoHyphens/>
              <w:topLinePunct/>
              <w:adjustRightInd w:val="0"/>
              <w:snapToGrid w:val="0"/>
              <w:spacing w:line="360" w:lineRule="auto"/>
              <w:ind w:left="-57" w:firstLine="0"/>
              <w:jc w:val="left"/>
              <w:textAlignment w:val="center"/>
              <w:rPr>
                <w:rFonts w:hint="eastAsia" w:ascii="宋体" w:hAnsi="宋体" w:cs="宋体"/>
                <w:kern w:val="0"/>
                <w:szCs w:val="21"/>
              </w:rPr>
            </w:pPr>
            <w:r>
              <w:rPr>
                <w:rFonts w:hint="eastAsia" w:ascii="宋体" w:hAnsi="宋体" w:cs="宋体"/>
                <w:kern w:val="0"/>
                <w:szCs w:val="21"/>
              </w:rPr>
              <w:t>购买招租文件，通过报名资格审查，于规定的时间前缴纳竞价保证金；</w:t>
            </w:r>
          </w:p>
          <w:p>
            <w:pPr>
              <w:widowControl/>
              <w:numPr>
                <w:ilvl w:val="0"/>
                <w:numId w:val="3"/>
              </w:numPr>
              <w:suppressLineNumbers/>
              <w:suppressAutoHyphens/>
              <w:topLinePunct/>
              <w:adjustRightInd w:val="0"/>
              <w:snapToGrid w:val="0"/>
              <w:spacing w:line="360" w:lineRule="auto"/>
              <w:ind w:left="-57" w:firstLine="0"/>
              <w:jc w:val="left"/>
              <w:textAlignment w:val="center"/>
              <w:rPr>
                <w:rFonts w:hint="eastAsia" w:ascii="宋体" w:hAnsi="宋体" w:cs="宋体"/>
                <w:kern w:val="0"/>
                <w:szCs w:val="21"/>
              </w:rPr>
            </w:pPr>
            <w:r>
              <w:rPr>
                <w:rFonts w:hint="eastAsia" w:ascii="宋体" w:hAnsi="宋体" w:cs="宋体"/>
                <w:kern w:val="0"/>
                <w:szCs w:val="21"/>
              </w:rPr>
              <w:t>收到交易机构发出的《竞价邀请书》；</w:t>
            </w:r>
          </w:p>
          <w:p>
            <w:pPr>
              <w:widowControl/>
              <w:numPr>
                <w:ilvl w:val="0"/>
                <w:numId w:val="3"/>
              </w:numPr>
              <w:suppressLineNumbers/>
              <w:suppressAutoHyphens/>
              <w:topLinePunct/>
              <w:adjustRightInd w:val="0"/>
              <w:snapToGrid w:val="0"/>
              <w:spacing w:line="360" w:lineRule="auto"/>
              <w:ind w:left="-57" w:firstLine="0"/>
              <w:jc w:val="left"/>
              <w:textAlignment w:val="center"/>
              <w:rPr>
                <w:rFonts w:hint="eastAsia" w:ascii="宋体" w:hAnsi="宋体" w:cs="宋体"/>
                <w:kern w:val="0"/>
                <w:szCs w:val="21"/>
              </w:rPr>
            </w:pPr>
            <w:r>
              <w:rPr>
                <w:rFonts w:hint="eastAsia" w:ascii="宋体" w:hAnsi="宋体" w:cs="宋体"/>
                <w:kern w:val="0"/>
                <w:szCs w:val="21"/>
              </w:rPr>
              <w:t>准时履行签到程序，参加现场公开竞价（以现场签到时间为准）；</w:t>
            </w:r>
          </w:p>
          <w:p>
            <w:pPr>
              <w:widowControl/>
              <w:numPr>
                <w:ilvl w:val="0"/>
                <w:numId w:val="3"/>
              </w:numPr>
              <w:suppressLineNumbers/>
              <w:suppressAutoHyphens/>
              <w:topLinePunct/>
              <w:adjustRightInd w:val="0"/>
              <w:snapToGrid w:val="0"/>
              <w:spacing w:line="360" w:lineRule="auto"/>
              <w:ind w:left="-57" w:firstLine="0"/>
              <w:jc w:val="left"/>
              <w:textAlignment w:val="center"/>
              <w:rPr>
                <w:rFonts w:hint="eastAsia" w:ascii="宋体" w:hAnsi="宋体" w:cs="宋体"/>
                <w:kern w:val="0"/>
                <w:szCs w:val="21"/>
              </w:rPr>
            </w:pPr>
            <w:r>
              <w:rPr>
                <w:rFonts w:hint="eastAsia" w:ascii="宋体" w:hAnsi="宋体" w:cs="宋体"/>
                <w:kern w:val="0"/>
                <w:szCs w:val="21"/>
              </w:rPr>
              <w:t>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参与现场竞价须携带资料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竞价增幅</w:t>
            </w:r>
          </w:p>
        </w:tc>
        <w:tc>
          <w:tcPr>
            <w:tcW w:w="5568" w:type="dxa"/>
            <w:noWrap w:val="0"/>
            <w:vAlign w:val="center"/>
          </w:tcPr>
          <w:p>
            <w:pPr>
              <w:widowControl/>
              <w:suppressLineNumbers/>
              <w:suppressAutoHyphens/>
              <w:topLinePunct/>
              <w:adjustRightInd w:val="0"/>
              <w:snapToGrid w:val="0"/>
              <w:spacing w:line="360" w:lineRule="auto"/>
              <w:ind w:left="-57"/>
              <w:textAlignment w:val="center"/>
              <w:rPr>
                <w:rFonts w:hint="eastAsia" w:ascii="宋体" w:hAnsi="宋体" w:cs="宋体"/>
                <w:kern w:val="0"/>
                <w:szCs w:val="21"/>
              </w:rPr>
            </w:pPr>
            <w:r>
              <w:rPr>
                <w:rFonts w:hint="eastAsia" w:ascii="宋体" w:hAnsi="宋体" w:cs="宋体"/>
                <w:kern w:val="0"/>
                <w:szCs w:val="21"/>
              </w:rPr>
              <w:t>报价增幅为人民币</w:t>
            </w:r>
            <w:r>
              <w:rPr>
                <w:rFonts w:ascii="宋体" w:hAnsi="宋体" w:cs="宋体"/>
                <w:kern w:val="0"/>
                <w:szCs w:val="21"/>
              </w:rPr>
              <w:t>0.</w:t>
            </w:r>
            <w:r>
              <w:rPr>
                <w:rFonts w:hint="eastAsia" w:ascii="宋体" w:hAnsi="宋体" w:cs="宋体"/>
                <w:kern w:val="0"/>
                <w:szCs w:val="21"/>
              </w:rPr>
              <w:t>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交易机构</w:t>
            </w:r>
          </w:p>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信息</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交易机构名称</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深圳市国际招标有限公司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地址</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深圳市南山区沙河西路与白石路交汇处深圳湾科技生态园2区9栋B4座6楼619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联系人</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袁敏、祝希宁、江伟琦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联系方式</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0755-83500937（18926527132）或15945957301或 0755-83710326（15827408643）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邮箱地址</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807436597@qq.com或285041593@qq.com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收款单位</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深圳市国际招标有限公司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开户银行</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平安银行深圳江苏大厦支行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开户账号</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11002982389701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提醒</w:t>
            </w:r>
          </w:p>
        </w:tc>
        <w:tc>
          <w:tcPr>
            <w:tcW w:w="5568" w:type="dxa"/>
            <w:noWrap w:val="0"/>
            <w:vAlign w:val="center"/>
          </w:tcPr>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请竞价人缴纳竞价保证金时务必注明项目编号，如因不标注或标注错误而导致招租文件费未交、保证金的错投、漏投的情况，相关责任由竞价人自行承担。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网址</w:t>
            </w:r>
          </w:p>
        </w:tc>
        <w:tc>
          <w:tcPr>
            <w:tcW w:w="5568" w:type="dxa"/>
            <w:noWrap w:val="0"/>
            <w:vAlign w:val="center"/>
          </w:tcPr>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深圳市国际招标有限公司</w:t>
            </w:r>
          </w:p>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http://www.sztc.com/</w:t>
            </w:r>
          </w:p>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深圳公共资源交易服务网</w:t>
            </w:r>
          </w:p>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https://www.szygcg.cn/zzpt-web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微信公众号</w:t>
            </w:r>
          </w:p>
        </w:tc>
        <w:tc>
          <w:tcPr>
            <w:tcW w:w="5568" w:type="dxa"/>
            <w:noWrap w:val="0"/>
            <w:vAlign w:val="center"/>
          </w:tcPr>
          <w:p>
            <w:pPr>
              <w:widowControl/>
              <w:adjustRightInd w:val="0"/>
              <w:snapToGrid w:val="0"/>
              <w:spacing w:line="360" w:lineRule="auto"/>
              <w:ind w:left="-57"/>
              <w:jc w:val="left"/>
              <w:rPr>
                <w:rFonts w:hint="eastAsia" w:ascii="宋体" w:hAnsi="宋体" w:cs="宋体"/>
                <w:kern w:val="0"/>
                <w:szCs w:val="21"/>
              </w:rPr>
            </w:pPr>
            <w:r>
              <w:rPr>
                <w:rFonts w:hint="eastAsia" w:ascii="宋体" w:hAnsi="宋体" w:cs="宋体"/>
                <w:kern w:val="0"/>
                <w:szCs w:val="21"/>
              </w:rPr>
              <w:t>深国招国资招租平台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111" w:type="dxa"/>
            <w:gridSpan w:val="2"/>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特别说明</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本次公开招租的行为是按照《深国资委【2020】132号》文规定的程序进行的。招租交易机构（深圳市国际招标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C09C6"/>
    <w:multiLevelType w:val="singleLevel"/>
    <w:tmpl w:val="90CC09C6"/>
    <w:lvl w:ilvl="0" w:tentative="0">
      <w:start w:val="1"/>
      <w:numFmt w:val="decimal"/>
      <w:lvlText w:val="%1."/>
      <w:lvlJc w:val="left"/>
      <w:pPr>
        <w:tabs>
          <w:tab w:val="left" w:pos="312"/>
        </w:tabs>
      </w:pPr>
    </w:lvl>
  </w:abstractNum>
  <w:abstractNum w:abstractNumId="1">
    <w:nsid w:val="1E88E173"/>
    <w:multiLevelType w:val="singleLevel"/>
    <w:tmpl w:val="1E88E173"/>
    <w:lvl w:ilvl="0" w:tentative="0">
      <w:start w:val="1"/>
      <w:numFmt w:val="decimal"/>
      <w:lvlText w:val="%1."/>
      <w:lvlJc w:val="left"/>
      <w:pPr>
        <w:tabs>
          <w:tab w:val="left" w:pos="312"/>
        </w:tabs>
      </w:pPr>
    </w:lvl>
  </w:abstractNum>
  <w:abstractNum w:abstractNumId="2">
    <w:nsid w:val="770A1736"/>
    <w:multiLevelType w:val="multilevel"/>
    <w:tmpl w:val="770A1736"/>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6272"/>
    <w:rsid w:val="08A95414"/>
    <w:rsid w:val="0C500F01"/>
    <w:rsid w:val="0C6A56E4"/>
    <w:rsid w:val="0D5A2526"/>
    <w:rsid w:val="0FC874BB"/>
    <w:rsid w:val="1AB75F1A"/>
    <w:rsid w:val="1CBF50C9"/>
    <w:rsid w:val="1D5D6E44"/>
    <w:rsid w:val="287A19F0"/>
    <w:rsid w:val="28F43377"/>
    <w:rsid w:val="2D2204DF"/>
    <w:rsid w:val="2E6C5A66"/>
    <w:rsid w:val="2F3138F5"/>
    <w:rsid w:val="346B31D3"/>
    <w:rsid w:val="359416CF"/>
    <w:rsid w:val="39136150"/>
    <w:rsid w:val="3CDD0F4C"/>
    <w:rsid w:val="452F54A7"/>
    <w:rsid w:val="48FA2F36"/>
    <w:rsid w:val="4B6E2F20"/>
    <w:rsid w:val="4F3772BB"/>
    <w:rsid w:val="51FE6F37"/>
    <w:rsid w:val="54C168B2"/>
    <w:rsid w:val="5B584555"/>
    <w:rsid w:val="5D9F6123"/>
    <w:rsid w:val="61773AD8"/>
    <w:rsid w:val="65131C1F"/>
    <w:rsid w:val="69433DA2"/>
    <w:rsid w:val="6ED16788"/>
    <w:rsid w:val="75271CFD"/>
    <w:rsid w:val="77144D47"/>
    <w:rsid w:val="7745231A"/>
    <w:rsid w:val="7A3A0C81"/>
    <w:rsid w:val="7A900C64"/>
    <w:rsid w:val="7DAB33C1"/>
    <w:rsid w:val="7EE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rFonts w:ascii="Arial" w:hAnsi="Arial" w:cs="Arial"/>
      <w:color w:val="333333"/>
      <w:u w:val="non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2021-10-09T08:51:00Z</dcterms:created>
  <dc:creator>dc</dc:creator>
  <cp:lastModifiedBy>Michael Shu</cp:lastModifiedBy>
  <dcterms:modified xsi:type="dcterms:W3CDTF">2022-01-17T01:00:41Z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